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00BC02F4">
        <w:rPr>
          <w:rFonts w:ascii="Arial" w:eastAsia="宋体" w:hAnsi="Arial" w:cs="Arial" w:hint="eastAsia"/>
          <w:b/>
          <w:bCs/>
          <w:kern w:val="0"/>
          <w:sz w:val="22"/>
          <w:lang w:val="en-GB"/>
        </w:rPr>
        <w:t>1</w:t>
      </w:r>
      <w:r w:rsidR="00BC02F4">
        <w:rPr>
          <w:rFonts w:ascii="Arial" w:eastAsia="宋体" w:hAnsi="Arial" w:cs="Arial"/>
          <w:b/>
          <w:bCs/>
          <w:kern w:val="0"/>
          <w:sz w:val="22"/>
          <w:lang w:val="en-GB"/>
        </w:rPr>
        <w:t>10</w:t>
      </w:r>
      <w:r w:rsidRPr="004A06BE">
        <w:rPr>
          <w:rFonts w:ascii="Arial" w:eastAsia="宋体" w:hAnsi="Arial" w:cs="Arial" w:hint="eastAsia"/>
          <w:b/>
          <w:bCs/>
          <w:kern w:val="0"/>
          <w:sz w:val="22"/>
          <w:lang w:val="en-GB"/>
        </w:rPr>
        <w:t xml:space="preserve">                              </w:t>
      </w:r>
      <w:r w:rsidR="00073FB0">
        <w:rPr>
          <w:rFonts w:ascii="Arial" w:eastAsia="宋体" w:hAnsi="Arial" w:cs="Arial"/>
          <w:b/>
          <w:bCs/>
          <w:kern w:val="0"/>
          <w:sz w:val="22"/>
          <w:lang w:val="en-GB"/>
        </w:rPr>
        <w:t xml:space="preserve">           </w:t>
      </w:r>
      <w:r w:rsidRPr="004A06BE">
        <w:rPr>
          <w:rFonts w:ascii="Arial" w:eastAsia="宋体" w:hAnsi="Arial" w:cs="Arial" w:hint="eastAsia"/>
          <w:b/>
          <w:bCs/>
          <w:kern w:val="0"/>
          <w:sz w:val="22"/>
          <w:lang w:val="en-GB"/>
        </w:rPr>
        <w:t xml:space="preserve">   </w:t>
      </w:r>
      <w:r w:rsidR="002E0ADD">
        <w:rPr>
          <w:rFonts w:ascii="Arial" w:eastAsia="MS Mincho" w:hAnsi="Arial" w:cs="Times New Roman"/>
          <w:b/>
          <w:kern w:val="0"/>
          <w:sz w:val="22"/>
          <w:lang w:val="x-none" w:eastAsia="en-US"/>
        </w:rPr>
        <w:t>R1-</w:t>
      </w:r>
      <w:r w:rsidR="00F839C6" w:rsidRPr="00F839C6">
        <w:t xml:space="preserve"> </w:t>
      </w:r>
      <w:r w:rsidR="00F839C6" w:rsidRPr="00F839C6">
        <w:rPr>
          <w:rFonts w:ascii="Arial" w:eastAsia="MS Mincho" w:hAnsi="Arial" w:cs="Times New Roman"/>
          <w:b/>
          <w:kern w:val="0"/>
          <w:sz w:val="22"/>
          <w:lang w:val="x-none" w:eastAsia="en-US"/>
        </w:rPr>
        <w:t>2206107</w:t>
      </w:r>
    </w:p>
    <w:p w:rsidR="00A578C0" w:rsidRPr="004A06BE" w:rsidRDefault="00BC02F4" w:rsidP="00A578C0">
      <w:pPr>
        <w:widowControl/>
        <w:tabs>
          <w:tab w:val="center" w:pos="4536"/>
          <w:tab w:val="right" w:pos="9072"/>
        </w:tabs>
        <w:ind w:left="-2"/>
        <w:jc w:val="left"/>
        <w:rPr>
          <w:rFonts w:ascii="Arial" w:eastAsia="宋体" w:hAnsi="Arial" w:cs="Arial"/>
          <w:b/>
          <w:bCs/>
          <w:kern w:val="0"/>
          <w:sz w:val="22"/>
          <w:lang w:val="x-none"/>
        </w:rPr>
      </w:pPr>
      <w:r w:rsidRPr="00EF2708">
        <w:rPr>
          <w:rFonts w:ascii="Arial" w:eastAsia="宋体" w:hAnsi="Arial" w:cs="Arial"/>
          <w:b/>
          <w:bCs/>
          <w:kern w:val="0"/>
          <w:sz w:val="22"/>
          <w:lang w:val="x-none"/>
        </w:rPr>
        <w:t>Toulouse, France, August 22</w:t>
      </w:r>
      <w:r w:rsidRPr="00F839C6">
        <w:rPr>
          <w:rFonts w:ascii="Arial" w:eastAsia="宋体" w:hAnsi="Arial" w:cs="Arial"/>
          <w:b/>
          <w:bCs/>
          <w:kern w:val="0"/>
          <w:sz w:val="22"/>
          <w:vertAlign w:val="superscript"/>
          <w:lang w:val="x-none"/>
        </w:rPr>
        <w:t>nd</w:t>
      </w:r>
      <w:r w:rsidRPr="00EF2708">
        <w:rPr>
          <w:rFonts w:ascii="Arial" w:eastAsia="宋体" w:hAnsi="Arial" w:cs="Arial"/>
          <w:b/>
          <w:bCs/>
          <w:kern w:val="0"/>
          <w:sz w:val="22"/>
          <w:lang w:val="x-none"/>
        </w:rPr>
        <w:t xml:space="preserve"> – 26</w:t>
      </w:r>
      <w:bookmarkStart w:id="0" w:name="_GoBack"/>
      <w:r w:rsidRPr="00F839C6">
        <w:rPr>
          <w:rFonts w:ascii="Arial" w:eastAsia="宋体" w:hAnsi="Arial" w:cs="Arial"/>
          <w:b/>
          <w:bCs/>
          <w:kern w:val="0"/>
          <w:sz w:val="22"/>
          <w:vertAlign w:val="superscript"/>
          <w:lang w:val="x-none"/>
        </w:rPr>
        <w:t>th</w:t>
      </w:r>
      <w:bookmarkEnd w:id="0"/>
      <w:r w:rsidRPr="00EF2708">
        <w:rPr>
          <w:rFonts w:ascii="Arial" w:eastAsia="宋体" w:hAnsi="Arial" w:cs="Arial"/>
          <w:b/>
          <w:bCs/>
          <w:kern w:val="0"/>
          <w:sz w:val="22"/>
          <w:lang w:val="x-none"/>
        </w:rPr>
        <w:t>, 2022</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164469" w:rsidRDefault="00A578C0" w:rsidP="003F3BD9">
      <w:pPr>
        <w:widowControl/>
        <w:tabs>
          <w:tab w:val="left" w:pos="1800"/>
          <w:tab w:val="right" w:pos="9072"/>
        </w:tabs>
        <w:ind w:left="1798" w:hanging="1800"/>
        <w:jc w:val="left"/>
        <w:rPr>
          <w:rFonts w:ascii="Arial" w:eastAsia="宋体" w:hAnsi="Arial" w:cs="Times New Roman"/>
          <w:b/>
          <w:kern w:val="0"/>
          <w:sz w:val="22"/>
        </w:rPr>
      </w:pPr>
      <w:r w:rsidRPr="004A06BE">
        <w:rPr>
          <w:rFonts w:ascii="Arial" w:eastAsia="MS Mincho" w:hAnsi="Arial" w:cs="Times New Roman"/>
          <w:b/>
          <w:kern w:val="0"/>
          <w:sz w:val="22"/>
          <w:lang w:val="x-none" w:eastAsia="en-US"/>
        </w:rPr>
        <w:t>Title:</w:t>
      </w:r>
      <w:bookmarkStart w:id="1" w:name="Title"/>
      <w:bookmarkEnd w:id="1"/>
      <w:r w:rsidRPr="004A06BE">
        <w:rPr>
          <w:rFonts w:ascii="Arial" w:eastAsia="MS Mincho" w:hAnsi="Arial" w:cs="Times New Roman"/>
          <w:b/>
          <w:kern w:val="0"/>
          <w:sz w:val="22"/>
          <w:lang w:val="x-none" w:eastAsia="en-US"/>
        </w:rPr>
        <w:tab/>
      </w:r>
      <w:r w:rsidR="00164469" w:rsidRPr="00164469">
        <w:rPr>
          <w:rFonts w:ascii="Arial" w:eastAsia="MS Mincho" w:hAnsi="Arial" w:hint="eastAsia"/>
          <w:b/>
          <w:sz w:val="22"/>
          <w:lang w:val="x-none"/>
        </w:rPr>
        <w:t>Discussion</w:t>
      </w:r>
      <w:r w:rsidR="00761B07" w:rsidRPr="00761B07">
        <w:rPr>
          <w:rFonts w:ascii="Arial" w:eastAsia="MS Mincho" w:hAnsi="Arial"/>
          <w:b/>
          <w:sz w:val="22"/>
          <w:lang w:val="x-none"/>
        </w:rPr>
        <w:t xml:space="preserve"> for </w:t>
      </w:r>
      <w:r w:rsidR="001B50E5" w:rsidRPr="001B50E5">
        <w:rPr>
          <w:rFonts w:ascii="Arial" w:eastAsia="MS Mincho" w:hAnsi="Arial"/>
          <w:b/>
          <w:sz w:val="22"/>
          <w:lang w:val="x-none"/>
        </w:rPr>
        <w:t>Evaluation on NR duplex evolution</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1B50E5">
        <w:rPr>
          <w:rFonts w:ascii="Arial" w:eastAsia="宋体" w:hAnsi="Arial" w:cs="Times New Roman"/>
          <w:b/>
          <w:kern w:val="0"/>
          <w:sz w:val="22"/>
          <w:lang w:val="x-none"/>
        </w:rPr>
        <w:t>9.3.1</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857968" w:rsidRDefault="00AE31E2" w:rsidP="004A1CE8">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Pr="004A06BE">
        <w:rPr>
          <w:rFonts w:ascii="Times New Roman" w:hAnsi="Times New Roman" w:cs="Times New Roman"/>
          <w:sz w:val="20"/>
          <w:szCs w:val="20"/>
        </w:rPr>
        <w:t xml:space="preserve"> RAN1 #10</w:t>
      </w:r>
      <w:r>
        <w:rPr>
          <w:rFonts w:ascii="Times New Roman" w:hAnsi="Times New Roman" w:cs="Times New Roman"/>
          <w:sz w:val="20"/>
          <w:szCs w:val="20"/>
        </w:rPr>
        <w:t>9</w:t>
      </w:r>
      <w:r w:rsidRPr="004A06BE">
        <w:rPr>
          <w:rFonts w:ascii="Times New Roman" w:hAnsi="Times New Roman" w:cs="Times New Roman"/>
          <w:sz w:val="20"/>
          <w:szCs w:val="20"/>
        </w:rPr>
        <w:t xml:space="preserve">-e meeting, </w:t>
      </w:r>
      <w:r>
        <w:rPr>
          <w:rFonts w:ascii="Times New Roman" w:hAnsi="Times New Roman" w:cs="Times New Roman" w:hint="eastAsia"/>
          <w:sz w:val="20"/>
          <w:szCs w:val="20"/>
        </w:rPr>
        <w:t>e</w:t>
      </w:r>
      <w:r w:rsidRPr="00AE31E2">
        <w:rPr>
          <w:rFonts w:ascii="Times New Roman" w:hAnsi="Times New Roman" w:cs="Times New Roman"/>
          <w:sz w:val="20"/>
          <w:szCs w:val="20"/>
          <w:lang w:eastAsia="fi-FI"/>
        </w:rPr>
        <w:t>valuation on NR duplex evolution</w:t>
      </w:r>
      <w:r>
        <w:rPr>
          <w:rFonts w:ascii="Times New Roman" w:hAnsi="Times New Roman" w:cs="Times New Roman"/>
          <w:sz w:val="20"/>
          <w:szCs w:val="20"/>
          <w:lang w:eastAsia="fi-FI"/>
        </w:rPr>
        <w:t xml:space="preserve"> </w:t>
      </w:r>
      <w:r>
        <w:rPr>
          <w:rFonts w:ascii="Times New Roman" w:eastAsia="宋体" w:hAnsi="Times New Roman" w:cs="Times New Roman"/>
          <w:sz w:val="20"/>
          <w:szCs w:val="20"/>
        </w:rPr>
        <w:t>in Rel.18</w:t>
      </w:r>
      <w:r w:rsidRPr="004A06BE">
        <w:rPr>
          <w:rFonts w:ascii="Times New Roman" w:eastAsia="宋体" w:hAnsi="Times New Roman" w:cs="Times New Roman"/>
          <w:sz w:val="20"/>
          <w:szCs w:val="20"/>
        </w:rPr>
        <w:t xml:space="preserve"> </w:t>
      </w:r>
      <w:r>
        <w:rPr>
          <w:rFonts w:ascii="Times New Roman" w:hAnsi="Times New Roman" w:cs="Times New Roman"/>
          <w:sz w:val="20"/>
          <w:szCs w:val="20"/>
        </w:rPr>
        <w:t>was</w:t>
      </w:r>
      <w:r w:rsidRPr="004A06BE">
        <w:rPr>
          <w:rFonts w:ascii="Times New Roman" w:hAnsi="Times New Roman" w:cs="Times New Roman"/>
          <w:sz w:val="20"/>
          <w:szCs w:val="20"/>
        </w:rPr>
        <w:t xml:space="preserve"> discussed. Some</w:t>
      </w:r>
      <w:r w:rsidRPr="004A06BE">
        <w:rPr>
          <w:rFonts w:ascii="Times New Roman" w:eastAsia="宋体" w:hAnsi="Times New Roman" w:cs="Times New Roman"/>
          <w:sz w:val="20"/>
          <w:szCs w:val="20"/>
        </w:rPr>
        <w:t xml:space="preserve"> agreements were </w:t>
      </w:r>
      <w:r>
        <w:rPr>
          <w:rFonts w:ascii="Times New Roman" w:eastAsia="宋体" w:hAnsi="Times New Roman" w:cs="Times New Roman"/>
          <w:sz w:val="20"/>
          <w:szCs w:val="20"/>
        </w:rPr>
        <w:t>made as below [1]</w:t>
      </w:r>
    </w:p>
    <w:p w:rsidR="00AE31E2" w:rsidRPr="00AE31E2" w:rsidRDefault="00AE31E2" w:rsidP="00AE31E2">
      <w:pPr>
        <w:rPr>
          <w:rFonts w:ascii="Times New Roman" w:hAnsi="Times New Roman" w:cs="Times New Roman"/>
          <w:sz w:val="20"/>
          <w:szCs w:val="20"/>
          <w:lang w:eastAsia="ko-KR"/>
        </w:rPr>
      </w:pPr>
      <w:r w:rsidRPr="00AE31E2">
        <w:rPr>
          <w:rFonts w:ascii="Times New Roman" w:hAnsi="Times New Roman" w:cs="Times New Roman"/>
          <w:sz w:val="20"/>
          <w:szCs w:val="20"/>
          <w:highlight w:val="green"/>
          <w:lang w:eastAsia="ko-KR"/>
        </w:rPr>
        <w:t>Agreement</w:t>
      </w:r>
    </w:p>
    <w:p w:rsidR="00AE31E2" w:rsidRPr="00AE31E2" w:rsidRDefault="00AE31E2" w:rsidP="00AE31E2">
      <w:pPr>
        <w:rPr>
          <w:rFonts w:ascii="Times New Roman" w:hAnsi="Times New Roman" w:cs="Times New Roman"/>
          <w:bCs/>
          <w:iCs/>
          <w:sz w:val="20"/>
          <w:szCs w:val="20"/>
        </w:rPr>
      </w:pPr>
      <w:r w:rsidRPr="00AE31E2">
        <w:rPr>
          <w:rFonts w:ascii="Times New Roman" w:hAnsi="Times New Roman" w:cs="Times New Roman"/>
          <w:bCs/>
          <w:iCs/>
          <w:sz w:val="20"/>
          <w:szCs w:val="20"/>
        </w:rPr>
        <w:t>For SBFD Deployment Case 1, at least consider the following scenarios for evaluation:</w:t>
      </w:r>
    </w:p>
    <w:p w:rsidR="00AE31E2" w:rsidRPr="00AE31E2" w:rsidRDefault="00AE31E2" w:rsidP="00AE31E2">
      <w:pPr>
        <w:pStyle w:val="a6"/>
        <w:widowControl/>
        <w:numPr>
          <w:ilvl w:val="0"/>
          <w:numId w:val="21"/>
        </w:numPr>
        <w:overflowPunct w:val="0"/>
        <w:autoSpaceDE w:val="0"/>
        <w:autoSpaceDN w:val="0"/>
        <w:adjustRightInd w:val="0"/>
        <w:ind w:left="714" w:firstLineChars="0" w:hanging="357"/>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For FR1,</w:t>
      </w:r>
    </w:p>
    <w:p w:rsidR="00AE31E2" w:rsidRPr="00AE31E2" w:rsidRDefault="00AE31E2" w:rsidP="00AE31E2">
      <w:pPr>
        <w:pStyle w:val="a6"/>
        <w:widowControl/>
        <w:numPr>
          <w:ilvl w:val="1"/>
          <w:numId w:val="21"/>
        </w:numPr>
        <w:overflowPunct w:val="0"/>
        <w:autoSpaceDE w:val="0"/>
        <w:autoSpaceDN w:val="0"/>
        <w:adjustRightInd w:val="0"/>
        <w:ind w:firstLineChars="0"/>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Indoor office (use Indoor office defined in TR38.802/TR38.901 as starting point)</w:t>
      </w:r>
    </w:p>
    <w:p w:rsidR="00AE31E2" w:rsidRPr="00AE31E2" w:rsidRDefault="00AE31E2" w:rsidP="00AE31E2">
      <w:pPr>
        <w:pStyle w:val="a6"/>
        <w:widowControl/>
        <w:numPr>
          <w:ilvl w:val="1"/>
          <w:numId w:val="21"/>
        </w:numPr>
        <w:overflowPunct w:val="0"/>
        <w:autoSpaceDE w:val="0"/>
        <w:autoSpaceDN w:val="0"/>
        <w:adjustRightInd w:val="0"/>
        <w:ind w:firstLineChars="0"/>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Urban macro (use Urban macro defined in TR38.802/TR38.901 as starting point)</w:t>
      </w:r>
    </w:p>
    <w:p w:rsidR="00AE31E2" w:rsidRPr="00AE31E2" w:rsidRDefault="00AE31E2" w:rsidP="00AE31E2">
      <w:pPr>
        <w:pStyle w:val="a6"/>
        <w:widowControl/>
        <w:numPr>
          <w:ilvl w:val="2"/>
          <w:numId w:val="21"/>
        </w:numPr>
        <w:overflowPunct w:val="0"/>
        <w:autoSpaceDE w:val="0"/>
        <w:autoSpaceDN w:val="0"/>
        <w:adjustRightInd w:val="0"/>
        <w:ind w:firstLineChars="0"/>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FFS: UE outdoor/indoor proportion, clustering, etc</w:t>
      </w:r>
    </w:p>
    <w:p w:rsidR="00AE31E2" w:rsidRPr="00AE31E2" w:rsidRDefault="00AE31E2" w:rsidP="00AE31E2">
      <w:pPr>
        <w:pStyle w:val="a6"/>
        <w:widowControl/>
        <w:numPr>
          <w:ilvl w:val="1"/>
          <w:numId w:val="21"/>
        </w:numPr>
        <w:overflowPunct w:val="0"/>
        <w:autoSpaceDE w:val="0"/>
        <w:autoSpaceDN w:val="0"/>
        <w:adjustRightInd w:val="0"/>
        <w:ind w:firstLineChars="0"/>
        <w:contextualSpacing/>
        <w:jc w:val="left"/>
        <w:textAlignment w:val="baseline"/>
        <w:rPr>
          <w:rFonts w:ascii="Times New Roman" w:hAnsi="Times New Roman" w:cs="Times New Roman"/>
          <w:bCs/>
          <w:iCs/>
          <w:sz w:val="20"/>
          <w:szCs w:val="20"/>
        </w:rPr>
      </w:pPr>
      <w:bookmarkStart w:id="5" w:name="_Hlk103319711"/>
      <w:r w:rsidRPr="00AE31E2">
        <w:rPr>
          <w:rFonts w:ascii="Times New Roman" w:hAnsi="Times New Roman" w:cs="Times New Roman"/>
          <w:bCs/>
          <w:iCs/>
          <w:sz w:val="20"/>
          <w:szCs w:val="20"/>
        </w:rPr>
        <w:t>Optional: Dense Urban with 1-layer or 2-layer</w:t>
      </w:r>
      <w:bookmarkEnd w:id="5"/>
      <w:r w:rsidRPr="00AE31E2">
        <w:rPr>
          <w:rFonts w:ascii="Times New Roman" w:hAnsi="Times New Roman" w:cs="Times New Roman"/>
          <w:bCs/>
          <w:iCs/>
          <w:sz w:val="20"/>
          <w:szCs w:val="20"/>
        </w:rPr>
        <w:t xml:space="preserve"> (use Dense Urban defined in TR38.802/TR38.901 as starting point)</w:t>
      </w:r>
    </w:p>
    <w:p w:rsidR="00AE31E2" w:rsidRPr="00AE31E2" w:rsidRDefault="00AE31E2" w:rsidP="00AE31E2">
      <w:pPr>
        <w:pStyle w:val="a6"/>
        <w:widowControl/>
        <w:numPr>
          <w:ilvl w:val="1"/>
          <w:numId w:val="21"/>
        </w:numPr>
        <w:overflowPunct w:val="0"/>
        <w:autoSpaceDE w:val="0"/>
        <w:autoSpaceDN w:val="0"/>
        <w:adjustRightInd w:val="0"/>
        <w:ind w:firstLineChars="0"/>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FFS: Rural</w:t>
      </w:r>
    </w:p>
    <w:p w:rsidR="00AE31E2" w:rsidRPr="00AE31E2" w:rsidRDefault="00AE31E2" w:rsidP="00AE31E2">
      <w:pPr>
        <w:pStyle w:val="a6"/>
        <w:widowControl/>
        <w:numPr>
          <w:ilvl w:val="0"/>
          <w:numId w:val="21"/>
        </w:numPr>
        <w:overflowPunct w:val="0"/>
        <w:autoSpaceDE w:val="0"/>
        <w:autoSpaceDN w:val="0"/>
        <w:adjustRightInd w:val="0"/>
        <w:ind w:left="714" w:firstLineChars="0" w:hanging="357"/>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For FR2-1,</w:t>
      </w:r>
    </w:p>
    <w:p w:rsidR="00AE31E2" w:rsidRPr="00AE31E2" w:rsidRDefault="00AE31E2" w:rsidP="00AE31E2">
      <w:pPr>
        <w:pStyle w:val="a6"/>
        <w:widowControl/>
        <w:numPr>
          <w:ilvl w:val="1"/>
          <w:numId w:val="21"/>
        </w:numPr>
        <w:overflowPunct w:val="0"/>
        <w:autoSpaceDE w:val="0"/>
        <w:autoSpaceDN w:val="0"/>
        <w:adjustRightInd w:val="0"/>
        <w:ind w:firstLineChars="0"/>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Indoor office (use Indoor office defined in TR38.802/TR38.901 as starting point)</w:t>
      </w:r>
    </w:p>
    <w:p w:rsidR="00AE31E2" w:rsidRPr="00AE31E2" w:rsidRDefault="00AE31E2" w:rsidP="00AE31E2">
      <w:pPr>
        <w:pStyle w:val="a6"/>
        <w:widowControl/>
        <w:numPr>
          <w:ilvl w:val="1"/>
          <w:numId w:val="21"/>
        </w:numPr>
        <w:overflowPunct w:val="0"/>
        <w:autoSpaceDE w:val="0"/>
        <w:autoSpaceDN w:val="0"/>
        <w:adjustRightInd w:val="0"/>
        <w:ind w:firstLineChars="0"/>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Dense Urban Macro layer (use Dense Urban defined in TR38.802 as starting point)</w:t>
      </w:r>
    </w:p>
    <w:p w:rsidR="00AE31E2" w:rsidRPr="00AE31E2" w:rsidRDefault="00AE31E2" w:rsidP="00AE31E2">
      <w:pPr>
        <w:pStyle w:val="a6"/>
        <w:widowControl/>
        <w:numPr>
          <w:ilvl w:val="2"/>
          <w:numId w:val="21"/>
        </w:numPr>
        <w:overflowPunct w:val="0"/>
        <w:autoSpaceDE w:val="0"/>
        <w:autoSpaceDN w:val="0"/>
        <w:adjustRightInd w:val="0"/>
        <w:ind w:firstLineChars="0"/>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FFS: UE outdoor/indoor proportion, clustering, etc</w:t>
      </w:r>
    </w:p>
    <w:p w:rsidR="00AE31E2" w:rsidRPr="00AE31E2" w:rsidRDefault="00AE31E2" w:rsidP="00AE31E2">
      <w:pPr>
        <w:pStyle w:val="a6"/>
        <w:widowControl/>
        <w:numPr>
          <w:ilvl w:val="1"/>
          <w:numId w:val="21"/>
        </w:numPr>
        <w:overflowPunct w:val="0"/>
        <w:autoSpaceDE w:val="0"/>
        <w:autoSpaceDN w:val="0"/>
        <w:adjustRightInd w:val="0"/>
        <w:ind w:firstLineChars="0"/>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Optional: Dense Urban micro (use Dense Urban micro defined in TR38.802/TR38.901 as starting point)</w:t>
      </w:r>
    </w:p>
    <w:p w:rsidR="00AE31E2" w:rsidRPr="00AE31E2" w:rsidRDefault="00AE31E2" w:rsidP="00AE31E2">
      <w:pPr>
        <w:pStyle w:val="a6"/>
        <w:widowControl/>
        <w:numPr>
          <w:ilvl w:val="0"/>
          <w:numId w:val="21"/>
        </w:numPr>
        <w:overflowPunct w:val="0"/>
        <w:autoSpaceDE w:val="0"/>
        <w:autoSpaceDN w:val="0"/>
        <w:adjustRightInd w:val="0"/>
        <w:ind w:left="714" w:firstLineChars="0" w:hanging="357"/>
        <w:contextualSpacing/>
        <w:jc w:val="left"/>
        <w:textAlignment w:val="baseline"/>
        <w:rPr>
          <w:rFonts w:ascii="Times New Roman" w:hAnsi="Times New Roman" w:cs="Times New Roman"/>
          <w:bCs/>
          <w:iCs/>
          <w:sz w:val="20"/>
          <w:szCs w:val="20"/>
        </w:rPr>
      </w:pPr>
      <w:r w:rsidRPr="00AE31E2">
        <w:rPr>
          <w:rFonts w:ascii="Times New Roman" w:hAnsi="Times New Roman" w:cs="Times New Roman"/>
          <w:bCs/>
          <w:iCs/>
          <w:sz w:val="20"/>
          <w:szCs w:val="20"/>
        </w:rPr>
        <w:t>FFS: Whether FR2-2 is considered or not in Rel-18.</w:t>
      </w:r>
    </w:p>
    <w:p w:rsidR="00AE31E2" w:rsidRPr="00AE31E2" w:rsidRDefault="00AE31E2" w:rsidP="00AE31E2">
      <w:pPr>
        <w:rPr>
          <w:rFonts w:ascii="Times New Roman" w:hAnsi="Times New Roman" w:cs="Times New Roman"/>
          <w:bCs/>
          <w:iCs/>
          <w:sz w:val="20"/>
          <w:szCs w:val="20"/>
        </w:rPr>
      </w:pPr>
      <w:r w:rsidRPr="00AE31E2">
        <w:rPr>
          <w:rFonts w:ascii="Times New Roman" w:hAnsi="Times New Roman" w:cs="Times New Roman"/>
          <w:bCs/>
          <w:iCs/>
          <w:sz w:val="20"/>
          <w:szCs w:val="20"/>
        </w:rPr>
        <w:t xml:space="preserve">Note: For optional scenarios, they can be captured in TR and it is up to each company to provide the results. The results can be </w:t>
      </w:r>
      <w:r w:rsidRPr="00AE31E2">
        <w:rPr>
          <w:rFonts w:ascii="Times New Roman" w:eastAsia="Malgun Gothic" w:hAnsi="Times New Roman" w:cs="Times New Roman"/>
          <w:bCs/>
          <w:sz w:val="20"/>
          <w:szCs w:val="20"/>
        </w:rPr>
        <w:t>used to draw conclusion/recommendation d</w:t>
      </w:r>
      <w:r w:rsidRPr="00AE31E2">
        <w:rPr>
          <w:rFonts w:ascii="Times New Roman" w:hAnsi="Times New Roman" w:cs="Times New Roman"/>
          <w:bCs/>
          <w:iCs/>
          <w:sz w:val="20"/>
          <w:szCs w:val="20"/>
        </w:rPr>
        <w:t>epending on the number of companies providing the results</w:t>
      </w:r>
      <w:r w:rsidRPr="00AE31E2">
        <w:rPr>
          <w:rFonts w:ascii="Times New Roman" w:eastAsia="Malgun Gothic" w:hAnsi="Times New Roman" w:cs="Times New Roman"/>
          <w:bCs/>
          <w:sz w:val="20"/>
          <w:szCs w:val="20"/>
        </w:rPr>
        <w:t>.</w:t>
      </w:r>
    </w:p>
    <w:p w:rsidR="00AE31E2" w:rsidRDefault="00AE31E2" w:rsidP="00AE31E2">
      <w:pPr>
        <w:rPr>
          <w:rFonts w:ascii="Times New Roman" w:hAnsi="Times New Roman" w:cs="Times New Roman"/>
          <w:sz w:val="20"/>
          <w:szCs w:val="20"/>
          <w:highlight w:val="green"/>
          <w:lang w:eastAsia="ko-KR"/>
        </w:rPr>
      </w:pPr>
    </w:p>
    <w:p w:rsidR="00AE31E2" w:rsidRPr="00AE31E2" w:rsidRDefault="00AE31E2" w:rsidP="00AE31E2">
      <w:pPr>
        <w:rPr>
          <w:rFonts w:ascii="Times New Roman" w:hAnsi="Times New Roman" w:cs="Times New Roman"/>
          <w:sz w:val="20"/>
          <w:szCs w:val="20"/>
          <w:highlight w:val="green"/>
          <w:lang w:eastAsia="ko-KR"/>
        </w:rPr>
      </w:pPr>
      <w:r w:rsidRPr="00AE31E2">
        <w:rPr>
          <w:rFonts w:ascii="Times New Roman" w:hAnsi="Times New Roman" w:cs="Times New Roman"/>
          <w:sz w:val="20"/>
          <w:szCs w:val="20"/>
          <w:highlight w:val="green"/>
          <w:lang w:eastAsia="ko-KR"/>
        </w:rPr>
        <w:t>Agreement</w:t>
      </w:r>
    </w:p>
    <w:p w:rsidR="00AE31E2" w:rsidRPr="00AE31E2" w:rsidRDefault="00AE31E2" w:rsidP="00AE31E2">
      <w:pPr>
        <w:rPr>
          <w:rFonts w:ascii="Times New Roman" w:hAnsi="Times New Roman" w:cs="Times New Roman"/>
          <w:iCs/>
          <w:sz w:val="20"/>
          <w:szCs w:val="20"/>
        </w:rPr>
      </w:pPr>
      <w:r w:rsidRPr="00AE31E2">
        <w:rPr>
          <w:rFonts w:ascii="Times New Roman" w:hAnsi="Times New Roman" w:cs="Times New Roman"/>
          <w:iCs/>
          <w:sz w:val="20"/>
          <w:szCs w:val="20"/>
        </w:rPr>
        <w:t>At least the following metrics are considered for SBFD and dynamic/flexible TDD evaluation.</w:t>
      </w:r>
    </w:p>
    <w:p w:rsidR="00AE31E2" w:rsidRPr="00AE31E2" w:rsidRDefault="00AE31E2" w:rsidP="00AE31E2">
      <w:pPr>
        <w:pStyle w:val="a6"/>
        <w:widowControl/>
        <w:numPr>
          <w:ilvl w:val="0"/>
          <w:numId w:val="22"/>
        </w:numPr>
        <w:spacing w:line="259" w:lineRule="auto"/>
        <w:ind w:firstLineChars="0"/>
        <w:jc w:val="left"/>
        <w:rPr>
          <w:rFonts w:ascii="Times New Roman" w:hAnsi="Times New Roman" w:cs="Times New Roman"/>
          <w:iCs/>
          <w:color w:val="000000"/>
          <w:sz w:val="20"/>
          <w:szCs w:val="20"/>
        </w:rPr>
      </w:pPr>
      <w:r w:rsidRPr="00AE31E2">
        <w:rPr>
          <w:rFonts w:ascii="Times New Roman" w:hAnsi="Times New Roman" w:cs="Times New Roman"/>
          <w:iCs/>
          <w:color w:val="000000"/>
          <w:sz w:val="20"/>
          <w:szCs w:val="20"/>
        </w:rPr>
        <w:t>DL/UL UPT or user throughput (CDF or {mean, 5%, 50%, 95%}) using SLS</w:t>
      </w:r>
    </w:p>
    <w:p w:rsidR="00AE31E2" w:rsidRPr="00AE31E2" w:rsidRDefault="00AE31E2" w:rsidP="00AE31E2">
      <w:pPr>
        <w:pStyle w:val="a6"/>
        <w:widowControl/>
        <w:numPr>
          <w:ilvl w:val="0"/>
          <w:numId w:val="22"/>
        </w:numPr>
        <w:spacing w:line="259" w:lineRule="auto"/>
        <w:ind w:firstLineChars="0"/>
        <w:jc w:val="left"/>
        <w:rPr>
          <w:rFonts w:ascii="Times New Roman" w:hAnsi="Times New Roman" w:cs="Times New Roman"/>
          <w:iCs/>
          <w:color w:val="000000"/>
          <w:sz w:val="20"/>
          <w:szCs w:val="20"/>
        </w:rPr>
      </w:pPr>
      <w:r w:rsidRPr="00AE31E2">
        <w:rPr>
          <w:rFonts w:ascii="Times New Roman" w:hAnsi="Times New Roman" w:cs="Times New Roman"/>
          <w:iCs/>
          <w:color w:val="000000"/>
          <w:sz w:val="20"/>
          <w:szCs w:val="20"/>
        </w:rPr>
        <w:t>Latency (CDF or {mean, 5%, 50%, 95%}) using SLS</w:t>
      </w:r>
    </w:p>
    <w:p w:rsidR="00AE31E2" w:rsidRPr="00AE31E2" w:rsidRDefault="00AE31E2" w:rsidP="00AE31E2">
      <w:pPr>
        <w:pStyle w:val="a6"/>
        <w:widowControl/>
        <w:numPr>
          <w:ilvl w:val="0"/>
          <w:numId w:val="22"/>
        </w:numPr>
        <w:spacing w:line="259" w:lineRule="auto"/>
        <w:ind w:firstLineChars="0"/>
        <w:jc w:val="left"/>
        <w:rPr>
          <w:rFonts w:ascii="Times New Roman" w:hAnsi="Times New Roman" w:cs="Times New Roman"/>
          <w:iCs/>
          <w:color w:val="000000"/>
          <w:sz w:val="20"/>
          <w:szCs w:val="20"/>
        </w:rPr>
      </w:pPr>
      <w:r w:rsidRPr="00AE31E2">
        <w:rPr>
          <w:rFonts w:ascii="Times New Roman" w:hAnsi="Times New Roman" w:cs="Times New Roman"/>
          <w:iCs/>
          <w:color w:val="000000"/>
          <w:sz w:val="20"/>
          <w:szCs w:val="20"/>
        </w:rPr>
        <w:t>Resource utilization using SLS</w:t>
      </w:r>
    </w:p>
    <w:p w:rsidR="00AE31E2" w:rsidRPr="00AE31E2" w:rsidRDefault="00AE31E2" w:rsidP="00AE31E2">
      <w:pPr>
        <w:pStyle w:val="a6"/>
        <w:widowControl/>
        <w:numPr>
          <w:ilvl w:val="0"/>
          <w:numId w:val="22"/>
        </w:numPr>
        <w:spacing w:line="259" w:lineRule="auto"/>
        <w:ind w:firstLineChars="0"/>
        <w:jc w:val="left"/>
        <w:rPr>
          <w:rFonts w:ascii="Times New Roman" w:hAnsi="Times New Roman" w:cs="Times New Roman"/>
          <w:iCs/>
          <w:color w:val="000000"/>
          <w:sz w:val="20"/>
          <w:szCs w:val="20"/>
        </w:rPr>
      </w:pPr>
      <w:bookmarkStart w:id="6" w:name="_Hlk103784556"/>
      <w:r w:rsidRPr="00AE31E2">
        <w:rPr>
          <w:rFonts w:ascii="Times New Roman" w:hAnsi="Times New Roman" w:cs="Times New Roman"/>
          <w:iCs/>
          <w:color w:val="000000"/>
          <w:sz w:val="20"/>
          <w:szCs w:val="20"/>
        </w:rPr>
        <w:t xml:space="preserve">DL/UL received SINR </w:t>
      </w:r>
      <w:bookmarkEnd w:id="6"/>
      <w:r w:rsidRPr="00AE31E2">
        <w:rPr>
          <w:rFonts w:ascii="Times New Roman" w:hAnsi="Times New Roman" w:cs="Times New Roman"/>
          <w:iCs/>
          <w:color w:val="000000"/>
          <w:sz w:val="20"/>
          <w:szCs w:val="20"/>
        </w:rPr>
        <w:t>using SLS</w:t>
      </w:r>
    </w:p>
    <w:p w:rsidR="00AE31E2" w:rsidRPr="00AE31E2" w:rsidRDefault="00AE31E2" w:rsidP="00AE31E2">
      <w:pPr>
        <w:pStyle w:val="a6"/>
        <w:widowControl/>
        <w:numPr>
          <w:ilvl w:val="0"/>
          <w:numId w:val="22"/>
        </w:numPr>
        <w:spacing w:line="259" w:lineRule="auto"/>
        <w:ind w:firstLineChars="0"/>
        <w:jc w:val="left"/>
        <w:rPr>
          <w:rFonts w:ascii="Times New Roman" w:hAnsi="Times New Roman" w:cs="Times New Roman"/>
          <w:iCs/>
          <w:sz w:val="20"/>
          <w:szCs w:val="20"/>
        </w:rPr>
      </w:pPr>
      <w:r w:rsidRPr="00AE31E2">
        <w:rPr>
          <w:rFonts w:ascii="Times New Roman" w:hAnsi="Times New Roman" w:cs="Times New Roman"/>
          <w:iCs/>
          <w:sz w:val="20"/>
          <w:szCs w:val="20"/>
        </w:rPr>
        <w:t>Coverage metric</w:t>
      </w:r>
    </w:p>
    <w:p w:rsidR="00AE31E2" w:rsidRPr="00AE31E2" w:rsidRDefault="00AE31E2" w:rsidP="00AE31E2">
      <w:pPr>
        <w:pStyle w:val="a6"/>
        <w:widowControl/>
        <w:numPr>
          <w:ilvl w:val="1"/>
          <w:numId w:val="22"/>
        </w:numPr>
        <w:spacing w:line="259" w:lineRule="auto"/>
        <w:ind w:firstLineChars="0"/>
        <w:jc w:val="left"/>
        <w:rPr>
          <w:rFonts w:ascii="Times New Roman" w:hAnsi="Times New Roman" w:cs="Times New Roman"/>
          <w:iCs/>
          <w:sz w:val="20"/>
          <w:szCs w:val="20"/>
        </w:rPr>
      </w:pPr>
      <w:r w:rsidRPr="00AE31E2">
        <w:rPr>
          <w:rFonts w:ascii="Times New Roman" w:hAnsi="Times New Roman" w:cs="Times New Roman"/>
          <w:iCs/>
          <w:sz w:val="20"/>
          <w:szCs w:val="20"/>
        </w:rPr>
        <w:t>FFS: MPL to achieve a certain bit rate in UL and DL</w:t>
      </w:r>
    </w:p>
    <w:p w:rsidR="00AE31E2" w:rsidRPr="00AE31E2" w:rsidRDefault="00AE31E2" w:rsidP="00AE31E2">
      <w:pPr>
        <w:pStyle w:val="a6"/>
        <w:widowControl/>
        <w:numPr>
          <w:ilvl w:val="0"/>
          <w:numId w:val="22"/>
        </w:numPr>
        <w:spacing w:line="259" w:lineRule="auto"/>
        <w:ind w:firstLineChars="0"/>
        <w:jc w:val="left"/>
        <w:rPr>
          <w:rFonts w:ascii="Times New Roman" w:hAnsi="Times New Roman" w:cs="Times New Roman"/>
          <w:iCs/>
          <w:color w:val="000000"/>
          <w:sz w:val="20"/>
          <w:szCs w:val="20"/>
        </w:rPr>
      </w:pPr>
      <w:r w:rsidRPr="00AE31E2">
        <w:rPr>
          <w:rFonts w:ascii="Times New Roman" w:hAnsi="Times New Roman" w:cs="Times New Roman"/>
          <w:iCs/>
          <w:color w:val="000000"/>
          <w:sz w:val="20"/>
          <w:szCs w:val="20"/>
        </w:rPr>
        <w:t>FFS: definitions of the above metrics</w:t>
      </w:r>
    </w:p>
    <w:p w:rsidR="00AE31E2" w:rsidRPr="00AE31E2" w:rsidRDefault="00AE31E2" w:rsidP="00AE31E2">
      <w:pPr>
        <w:pStyle w:val="a6"/>
        <w:widowControl/>
        <w:numPr>
          <w:ilvl w:val="0"/>
          <w:numId w:val="22"/>
        </w:numPr>
        <w:spacing w:line="259" w:lineRule="auto"/>
        <w:ind w:firstLineChars="0"/>
        <w:jc w:val="left"/>
        <w:rPr>
          <w:rFonts w:ascii="Times New Roman" w:hAnsi="Times New Roman" w:cs="Times New Roman"/>
          <w:iCs/>
          <w:color w:val="000000"/>
          <w:sz w:val="20"/>
          <w:szCs w:val="20"/>
        </w:rPr>
      </w:pPr>
      <w:r w:rsidRPr="00AE31E2">
        <w:rPr>
          <w:rFonts w:ascii="Times New Roman" w:hAnsi="Times New Roman" w:cs="Times New Roman"/>
          <w:iCs/>
          <w:color w:val="000000"/>
          <w:sz w:val="20"/>
          <w:szCs w:val="20"/>
        </w:rPr>
        <w:t>FFS: other metrics</w:t>
      </w:r>
    </w:p>
    <w:p w:rsidR="00AE31E2" w:rsidRPr="00AE31E2" w:rsidRDefault="00AE31E2" w:rsidP="00AE31E2">
      <w:pPr>
        <w:rPr>
          <w:rFonts w:ascii="Times New Roman" w:hAnsi="Times New Roman" w:cs="Times New Roman"/>
          <w:sz w:val="20"/>
          <w:szCs w:val="20"/>
          <w:lang w:eastAsia="ko-KR"/>
        </w:rPr>
      </w:pPr>
    </w:p>
    <w:p w:rsidR="00AE31E2" w:rsidRPr="00AE31E2" w:rsidRDefault="00AE31E2" w:rsidP="00AE31E2">
      <w:pPr>
        <w:rPr>
          <w:rFonts w:ascii="Times New Roman" w:hAnsi="Times New Roman" w:cs="Times New Roman"/>
          <w:sz w:val="20"/>
          <w:szCs w:val="20"/>
          <w:highlight w:val="green"/>
          <w:lang w:eastAsia="ko-KR"/>
        </w:rPr>
      </w:pPr>
      <w:r w:rsidRPr="00AE31E2">
        <w:rPr>
          <w:rFonts w:ascii="Times New Roman" w:hAnsi="Times New Roman" w:cs="Times New Roman"/>
          <w:sz w:val="20"/>
          <w:szCs w:val="20"/>
          <w:highlight w:val="green"/>
          <w:lang w:eastAsia="ko-KR"/>
        </w:rPr>
        <w:t>Agreement</w:t>
      </w:r>
    </w:p>
    <w:p w:rsidR="00AE31E2" w:rsidRPr="00AE31E2" w:rsidRDefault="00AE31E2" w:rsidP="00AE31E2">
      <w:pPr>
        <w:rPr>
          <w:rFonts w:ascii="Times New Roman" w:hAnsi="Times New Roman" w:cs="Times New Roman"/>
          <w:bCs/>
          <w:iCs/>
          <w:sz w:val="20"/>
          <w:szCs w:val="20"/>
        </w:rPr>
      </w:pPr>
      <w:r w:rsidRPr="00AE31E2">
        <w:rPr>
          <w:rFonts w:ascii="Times New Roman" w:hAnsi="Times New Roman" w:cs="Times New Roman"/>
          <w:bCs/>
          <w:iCs/>
          <w:sz w:val="20"/>
          <w:szCs w:val="20"/>
        </w:rPr>
        <w:t>Regarding traffic model for SBFD and dynamic/flexible TDD evaluation, at least FTP3 is considered. Performance evaluation comparison between different duplex modes (e.g., legacy static TDD vs. SBFD) should be performed based on the same amount of input traffic.</w:t>
      </w:r>
    </w:p>
    <w:p w:rsidR="00AE31E2" w:rsidRPr="00AE31E2" w:rsidRDefault="00AE31E2" w:rsidP="00AE31E2">
      <w:pPr>
        <w:pStyle w:val="a6"/>
        <w:widowControl/>
        <w:numPr>
          <w:ilvl w:val="0"/>
          <w:numId w:val="2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AE31E2">
        <w:rPr>
          <w:rFonts w:ascii="Times New Roman" w:hAnsi="Times New Roman" w:cs="Times New Roman"/>
          <w:sz w:val="20"/>
          <w:szCs w:val="20"/>
        </w:rPr>
        <w:t>FFS: other traffic models, e.g., XR, VoIP</w:t>
      </w:r>
    </w:p>
    <w:p w:rsidR="00AE31E2" w:rsidRPr="00AE31E2" w:rsidRDefault="00AE31E2" w:rsidP="00AE31E2">
      <w:pPr>
        <w:pStyle w:val="a6"/>
        <w:widowControl/>
        <w:numPr>
          <w:ilvl w:val="0"/>
          <w:numId w:val="2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AE31E2">
        <w:rPr>
          <w:rFonts w:ascii="Times New Roman" w:hAnsi="Times New Roman" w:cs="Times New Roman"/>
          <w:sz w:val="20"/>
          <w:szCs w:val="20"/>
        </w:rPr>
        <w:t>FFS: Packet size, traffic load, ratio of DL/UL traffic</w:t>
      </w:r>
    </w:p>
    <w:p w:rsidR="00AE31E2" w:rsidRPr="00AE31E2" w:rsidRDefault="00AE31E2" w:rsidP="00AE31E2">
      <w:pPr>
        <w:pStyle w:val="a6"/>
        <w:widowControl/>
        <w:numPr>
          <w:ilvl w:val="0"/>
          <w:numId w:val="2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AE31E2">
        <w:rPr>
          <w:rFonts w:ascii="Times New Roman" w:hAnsi="Times New Roman" w:cs="Times New Roman"/>
          <w:sz w:val="20"/>
          <w:szCs w:val="20"/>
        </w:rPr>
        <w:t>FFS: additionally consider different amount of input traffic at least for adjacent-channel</w:t>
      </w:r>
      <w:r w:rsidRPr="00AE31E2">
        <w:rPr>
          <w:rFonts w:ascii="Times New Roman" w:hAnsi="Times New Roman" w:cs="Times New Roman"/>
          <w:strike/>
          <w:color w:val="FF0000"/>
          <w:sz w:val="20"/>
          <w:szCs w:val="20"/>
        </w:rPr>
        <w:t>/co-channel</w:t>
      </w:r>
      <w:r w:rsidRPr="00AE31E2">
        <w:rPr>
          <w:rFonts w:ascii="Times New Roman" w:hAnsi="Times New Roman" w:cs="Times New Roman"/>
          <w:sz w:val="20"/>
          <w:szCs w:val="20"/>
        </w:rPr>
        <w:t xml:space="preserve"> coexistence studies</w:t>
      </w:r>
    </w:p>
    <w:p w:rsidR="00AE31E2" w:rsidRPr="00AE31E2" w:rsidRDefault="00AE31E2" w:rsidP="00AE31E2">
      <w:pPr>
        <w:rPr>
          <w:rFonts w:ascii="Times New Roman" w:hAnsi="Times New Roman" w:cs="Times New Roman"/>
          <w:bCs/>
          <w:sz w:val="20"/>
          <w:szCs w:val="20"/>
          <w:highlight w:val="green"/>
          <w:lang w:eastAsia="ko-KR"/>
        </w:rPr>
      </w:pPr>
      <w:r w:rsidRPr="00AE31E2">
        <w:rPr>
          <w:rFonts w:ascii="Times New Roman" w:hAnsi="Times New Roman" w:cs="Times New Roman"/>
          <w:bCs/>
          <w:sz w:val="20"/>
          <w:szCs w:val="20"/>
          <w:highlight w:val="green"/>
          <w:lang w:eastAsia="ko-KR"/>
        </w:rPr>
        <w:t>Agreement</w:t>
      </w:r>
    </w:p>
    <w:p w:rsidR="00AE31E2" w:rsidRPr="00AE31E2" w:rsidRDefault="00AE31E2" w:rsidP="00AE31E2">
      <w:pPr>
        <w:rPr>
          <w:rFonts w:ascii="Times New Roman" w:hAnsi="Times New Roman" w:cs="Times New Roman"/>
          <w:sz w:val="20"/>
          <w:szCs w:val="20"/>
        </w:rPr>
      </w:pPr>
      <w:r w:rsidRPr="00AE31E2">
        <w:rPr>
          <w:rFonts w:ascii="Times New Roman" w:hAnsi="Times New Roman" w:cs="Times New Roman"/>
          <w:sz w:val="20"/>
          <w:szCs w:val="20"/>
        </w:rPr>
        <w:t>For performance evaluation and comparison between baseline legacy TDD operation and SBFD operation under SBFD Deployment Case 1 (Non-coexistence case with single SBFD subband configuration), consider the following alternatives:</w:t>
      </w:r>
    </w:p>
    <w:p w:rsidR="00AE31E2" w:rsidRPr="00AE31E2" w:rsidRDefault="00AE31E2" w:rsidP="00AE31E2">
      <w:pPr>
        <w:widowControl/>
        <w:numPr>
          <w:ilvl w:val="0"/>
          <w:numId w:val="24"/>
        </w:numPr>
        <w:jc w:val="left"/>
        <w:rPr>
          <w:rFonts w:ascii="Times New Roman" w:hAnsi="Times New Roman" w:cs="Times New Roman"/>
          <w:sz w:val="20"/>
          <w:szCs w:val="20"/>
        </w:rPr>
      </w:pPr>
      <w:r w:rsidRPr="00AE31E2">
        <w:rPr>
          <w:rFonts w:ascii="Times New Roman" w:hAnsi="Times New Roman" w:cs="Times New Roman"/>
          <w:sz w:val="20"/>
          <w:szCs w:val="20"/>
        </w:rPr>
        <w:t xml:space="preserve">Alt 2 (No SBFD DL subband in the slots/symbols that correspond to UL slots/symbols in legacy TDD): </w:t>
      </w:r>
    </w:p>
    <w:p w:rsidR="00AE31E2" w:rsidRPr="00AE31E2" w:rsidRDefault="00AE31E2" w:rsidP="00AE31E2">
      <w:pPr>
        <w:widowControl/>
        <w:numPr>
          <w:ilvl w:val="1"/>
          <w:numId w:val="24"/>
        </w:numPr>
        <w:jc w:val="left"/>
        <w:rPr>
          <w:rFonts w:ascii="Times New Roman" w:hAnsi="Times New Roman" w:cs="Times New Roman"/>
          <w:sz w:val="20"/>
          <w:szCs w:val="20"/>
        </w:rPr>
      </w:pPr>
      <w:r w:rsidRPr="00AE31E2">
        <w:rPr>
          <w:rFonts w:ascii="Times New Roman" w:hAnsi="Times New Roman" w:cs="Times New Roman"/>
          <w:sz w:val="20"/>
          <w:szCs w:val="20"/>
        </w:rPr>
        <w:t>Legacy TDD: Static TDD UL/DL configuration with {DDDSU}, where S=[12D:2G:0U]</w:t>
      </w:r>
    </w:p>
    <w:p w:rsidR="00AE31E2" w:rsidRPr="00AE31E2" w:rsidRDefault="00AE31E2" w:rsidP="00AE31E2">
      <w:pPr>
        <w:widowControl/>
        <w:numPr>
          <w:ilvl w:val="1"/>
          <w:numId w:val="24"/>
        </w:numPr>
        <w:jc w:val="left"/>
        <w:rPr>
          <w:rFonts w:ascii="Times New Roman" w:hAnsi="Times New Roman" w:cs="Times New Roman"/>
          <w:sz w:val="20"/>
          <w:szCs w:val="20"/>
        </w:rPr>
      </w:pPr>
      <w:r w:rsidRPr="00AE31E2">
        <w:rPr>
          <w:rFonts w:ascii="Times New Roman" w:hAnsi="Times New Roman" w:cs="Times New Roman"/>
          <w:sz w:val="20"/>
          <w:szCs w:val="20"/>
        </w:rPr>
        <w:lastRenderedPageBreak/>
        <w:t>SBFD: Frame structure#2 (XXXXU), where X denotes a SBFD slot. In time domain, SBFD UL subband spans all the symbols in a SBFD slot. In frequency domain, SBFD UL subband is about [20%] of the channel bandwidth.</w:t>
      </w:r>
    </w:p>
    <w:p w:rsidR="00AE31E2" w:rsidRPr="00AE31E2" w:rsidRDefault="00AE31E2" w:rsidP="00AE31E2">
      <w:pPr>
        <w:widowControl/>
        <w:numPr>
          <w:ilvl w:val="0"/>
          <w:numId w:val="24"/>
        </w:numPr>
        <w:jc w:val="left"/>
        <w:rPr>
          <w:rFonts w:ascii="Times New Roman" w:hAnsi="Times New Roman" w:cs="Times New Roman"/>
          <w:sz w:val="20"/>
          <w:szCs w:val="20"/>
        </w:rPr>
      </w:pPr>
      <w:r w:rsidRPr="00AE31E2">
        <w:rPr>
          <w:rFonts w:ascii="Times New Roman" w:hAnsi="Times New Roman" w:cs="Times New Roman"/>
          <w:sz w:val="20"/>
          <w:szCs w:val="20"/>
        </w:rPr>
        <w:t xml:space="preserve">Alt 4 (strive for the same UL/DL resource ratio between Legacy TDD and SBFD): </w:t>
      </w:r>
    </w:p>
    <w:p w:rsidR="00AE31E2" w:rsidRPr="00AE31E2" w:rsidRDefault="00AE31E2" w:rsidP="00AE31E2">
      <w:pPr>
        <w:widowControl/>
        <w:numPr>
          <w:ilvl w:val="1"/>
          <w:numId w:val="24"/>
        </w:numPr>
        <w:jc w:val="left"/>
        <w:rPr>
          <w:rFonts w:ascii="Times New Roman" w:hAnsi="Times New Roman" w:cs="Times New Roman"/>
          <w:sz w:val="20"/>
          <w:szCs w:val="20"/>
        </w:rPr>
      </w:pPr>
      <w:r w:rsidRPr="00AE31E2">
        <w:rPr>
          <w:rFonts w:ascii="Times New Roman" w:hAnsi="Times New Roman" w:cs="Times New Roman"/>
          <w:sz w:val="20"/>
          <w:szCs w:val="20"/>
        </w:rPr>
        <w:t>Legacy TDD: Static TDD UL/DL configuration with {DDDSU}, where S=[12D:2G:0U]</w:t>
      </w:r>
    </w:p>
    <w:p w:rsidR="00AE31E2" w:rsidRPr="00AE31E2" w:rsidRDefault="00AE31E2" w:rsidP="00AE31E2">
      <w:pPr>
        <w:widowControl/>
        <w:numPr>
          <w:ilvl w:val="1"/>
          <w:numId w:val="24"/>
        </w:numPr>
        <w:jc w:val="left"/>
        <w:rPr>
          <w:rFonts w:ascii="Times New Roman" w:hAnsi="Times New Roman" w:cs="Times New Roman"/>
          <w:sz w:val="20"/>
          <w:szCs w:val="20"/>
        </w:rPr>
      </w:pPr>
      <w:r w:rsidRPr="00AE31E2">
        <w:rPr>
          <w:rFonts w:ascii="Times New Roman" w:hAnsi="Times New Roman" w:cs="Times New Roman"/>
          <w:sz w:val="20"/>
          <w:szCs w:val="20"/>
        </w:rPr>
        <w:t>SBFD: Frame structure#3 (XXXXX), where X denotes a SBFD slot. In time domain, SBFD UL subband spans all the symbols in a SBFD slot. In frequency domain, SBFD UL subband is about [20%] of the channel bandwidth.</w:t>
      </w:r>
    </w:p>
    <w:p w:rsidR="00AE31E2" w:rsidRPr="00AE31E2" w:rsidRDefault="00AE31E2" w:rsidP="00AE31E2">
      <w:pPr>
        <w:widowControl/>
        <w:numPr>
          <w:ilvl w:val="0"/>
          <w:numId w:val="24"/>
        </w:numPr>
        <w:jc w:val="left"/>
        <w:rPr>
          <w:rFonts w:ascii="Times New Roman" w:hAnsi="Times New Roman" w:cs="Times New Roman"/>
          <w:sz w:val="20"/>
          <w:szCs w:val="20"/>
        </w:rPr>
      </w:pPr>
      <w:r w:rsidRPr="00AE31E2">
        <w:rPr>
          <w:rFonts w:ascii="Times New Roman" w:hAnsi="Times New Roman" w:cs="Times New Roman"/>
          <w:sz w:val="20"/>
          <w:szCs w:val="20"/>
        </w:rPr>
        <w:t xml:space="preserve">Alt 1 (No SBFD DL subband in the slots/symbols that correspond to UL slots/symbols in legacy TDD): </w:t>
      </w:r>
    </w:p>
    <w:p w:rsidR="00AE31E2" w:rsidRPr="00AE31E2" w:rsidRDefault="00AE31E2" w:rsidP="00AE31E2">
      <w:pPr>
        <w:widowControl/>
        <w:numPr>
          <w:ilvl w:val="1"/>
          <w:numId w:val="24"/>
        </w:numPr>
        <w:jc w:val="left"/>
        <w:rPr>
          <w:rFonts w:ascii="Times New Roman" w:hAnsi="Times New Roman" w:cs="Times New Roman"/>
          <w:sz w:val="20"/>
          <w:szCs w:val="20"/>
        </w:rPr>
      </w:pPr>
      <w:r w:rsidRPr="00AE31E2">
        <w:rPr>
          <w:rFonts w:ascii="Times New Roman" w:hAnsi="Times New Roman" w:cs="Times New Roman"/>
          <w:sz w:val="20"/>
          <w:szCs w:val="20"/>
        </w:rPr>
        <w:t>Legacy TDD: Static TDD UL/DL configuration with {DDDSU}, where S=[12D:2G:0U]</w:t>
      </w:r>
    </w:p>
    <w:p w:rsidR="00AE31E2" w:rsidRPr="00AE31E2" w:rsidRDefault="00AE31E2" w:rsidP="00AE31E2">
      <w:pPr>
        <w:widowControl/>
        <w:numPr>
          <w:ilvl w:val="1"/>
          <w:numId w:val="24"/>
        </w:numPr>
        <w:jc w:val="left"/>
        <w:rPr>
          <w:rFonts w:ascii="Times New Roman" w:hAnsi="Times New Roman" w:cs="Times New Roman"/>
          <w:sz w:val="20"/>
          <w:szCs w:val="20"/>
        </w:rPr>
      </w:pPr>
      <w:r w:rsidRPr="00AE31E2">
        <w:rPr>
          <w:rFonts w:ascii="Times New Roman" w:hAnsi="Times New Roman" w:cs="Times New Roman"/>
          <w:sz w:val="20"/>
          <w:szCs w:val="20"/>
        </w:rPr>
        <w:t>SBFD: Frame structure#1 (DXXXU), where X denotes a SBFD slot. In time domain, SBFD UL subband spans all the symbols in a SBFD slot. In frequency domain, SBFD UL subband is about [20%] of the channel bandwidth.</w:t>
      </w:r>
    </w:p>
    <w:p w:rsidR="00AE31E2" w:rsidRPr="00AE31E2" w:rsidRDefault="00AE31E2" w:rsidP="00AE31E2">
      <w:pPr>
        <w:widowControl/>
        <w:numPr>
          <w:ilvl w:val="0"/>
          <w:numId w:val="24"/>
        </w:numPr>
        <w:jc w:val="left"/>
        <w:rPr>
          <w:rFonts w:ascii="Times New Roman" w:hAnsi="Times New Roman" w:cs="Times New Roman"/>
          <w:sz w:val="20"/>
          <w:szCs w:val="20"/>
        </w:rPr>
      </w:pPr>
      <w:r w:rsidRPr="00AE31E2">
        <w:rPr>
          <w:rFonts w:ascii="Times New Roman" w:hAnsi="Times New Roman" w:cs="Times New Roman"/>
          <w:sz w:val="20"/>
          <w:szCs w:val="20"/>
        </w:rPr>
        <w:t xml:space="preserve">Alt 3 (strive for the same UL/DL resource ratio between Legacy TDD and SBFD): </w:t>
      </w:r>
    </w:p>
    <w:p w:rsidR="00AE31E2" w:rsidRPr="00AE31E2" w:rsidRDefault="00AE31E2" w:rsidP="00AE31E2">
      <w:pPr>
        <w:widowControl/>
        <w:numPr>
          <w:ilvl w:val="1"/>
          <w:numId w:val="24"/>
        </w:numPr>
        <w:jc w:val="left"/>
        <w:rPr>
          <w:rFonts w:ascii="Times New Roman" w:hAnsi="Times New Roman" w:cs="Times New Roman"/>
          <w:sz w:val="20"/>
          <w:szCs w:val="20"/>
        </w:rPr>
      </w:pPr>
      <w:r w:rsidRPr="00AE31E2">
        <w:rPr>
          <w:rFonts w:ascii="Times New Roman" w:hAnsi="Times New Roman" w:cs="Times New Roman"/>
          <w:sz w:val="20"/>
          <w:szCs w:val="20"/>
        </w:rPr>
        <w:t>Legacy TDD: Static TDD UL/DL configuration with {DDSUU}, where S=[12D:2G:0U]</w:t>
      </w:r>
    </w:p>
    <w:p w:rsidR="00AE31E2" w:rsidRPr="00AE31E2" w:rsidRDefault="00AE31E2" w:rsidP="00AE31E2">
      <w:pPr>
        <w:widowControl/>
        <w:numPr>
          <w:ilvl w:val="1"/>
          <w:numId w:val="24"/>
        </w:numPr>
        <w:jc w:val="left"/>
        <w:rPr>
          <w:rFonts w:ascii="Times New Roman" w:hAnsi="Times New Roman" w:cs="Times New Roman"/>
          <w:sz w:val="20"/>
          <w:szCs w:val="20"/>
        </w:rPr>
      </w:pPr>
      <w:r w:rsidRPr="00AE31E2">
        <w:rPr>
          <w:rFonts w:ascii="Times New Roman" w:hAnsi="Times New Roman" w:cs="Times New Roman"/>
          <w:sz w:val="20"/>
          <w:szCs w:val="20"/>
        </w:rPr>
        <w:t>SBFD: Frame structure#2 (XXXXU), where X denotes a SBFD slot. In time domain, SBFD UL subband spans all the symbols in a SBFD slot. In frequency domain, SBFD UL subband is about [20%] of the channel bandwidth.</w:t>
      </w:r>
    </w:p>
    <w:p w:rsidR="00AE31E2" w:rsidRPr="00AE31E2" w:rsidRDefault="00AE31E2" w:rsidP="00AE31E2">
      <w:pPr>
        <w:rPr>
          <w:rFonts w:ascii="Times New Roman" w:hAnsi="Times New Roman" w:cs="Times New Roman"/>
          <w:sz w:val="20"/>
          <w:szCs w:val="20"/>
        </w:rPr>
      </w:pPr>
      <w:r w:rsidRPr="00AE31E2">
        <w:rPr>
          <w:rFonts w:ascii="Times New Roman" w:hAnsi="Times New Roman" w:cs="Times New Roman"/>
          <w:sz w:val="20"/>
          <w:szCs w:val="20"/>
        </w:rPr>
        <w:t>FFS: whether dynamic TDD can optionally be used for legacy TDD for comparison.</w:t>
      </w:r>
    </w:p>
    <w:p w:rsidR="00A036C9" w:rsidRDefault="00A036C9"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provide our considerations </w:t>
      </w:r>
      <w:r w:rsidR="00164469">
        <w:rPr>
          <w:rFonts w:ascii="Times New Roman" w:hAnsi="Times New Roman" w:cs="Times New Roman"/>
          <w:sz w:val="20"/>
          <w:szCs w:val="20"/>
        </w:rPr>
        <w:t xml:space="preserve">on </w:t>
      </w:r>
      <w:r w:rsidR="00447F0B">
        <w:rPr>
          <w:rFonts w:ascii="Times New Roman" w:hAnsi="Times New Roman" w:cs="Times New Roman"/>
          <w:sz w:val="20"/>
          <w:szCs w:val="20"/>
        </w:rPr>
        <w:t>e</w:t>
      </w:r>
      <w:r w:rsidR="00447F0B" w:rsidRPr="00447F0B">
        <w:rPr>
          <w:rFonts w:ascii="Times New Roman" w:hAnsi="Times New Roman" w:cs="Times New Roman"/>
          <w:sz w:val="20"/>
          <w:szCs w:val="20"/>
        </w:rPr>
        <w:t>valuation on NR duplex evolution</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C3547C" w:rsidRPr="00C3547C" w:rsidRDefault="00447F0B" w:rsidP="00C3547C">
      <w:pPr>
        <w:pStyle w:val="a6"/>
        <w:numPr>
          <w:ilvl w:val="1"/>
          <w:numId w:val="7"/>
        </w:numPr>
        <w:ind w:firstLineChars="0"/>
        <w:rPr>
          <w:rFonts w:ascii="Arial" w:hAnsi="Arial" w:cs="Times New Roman"/>
          <w:b/>
          <w:kern w:val="0"/>
          <w:sz w:val="24"/>
          <w:szCs w:val="20"/>
          <w:lang w:val="x-none"/>
        </w:rPr>
      </w:pPr>
      <w:r>
        <w:rPr>
          <w:rFonts w:ascii="Arial" w:hAnsi="Arial" w:cs="Times New Roman" w:hint="eastAsia"/>
          <w:b/>
          <w:kern w:val="0"/>
          <w:sz w:val="24"/>
          <w:szCs w:val="20"/>
          <w:lang w:val="x-none"/>
        </w:rPr>
        <w:t>S</w:t>
      </w:r>
      <w:r>
        <w:rPr>
          <w:rFonts w:ascii="Arial" w:hAnsi="Arial" w:cs="Times New Roman"/>
          <w:b/>
          <w:kern w:val="0"/>
          <w:sz w:val="24"/>
          <w:szCs w:val="20"/>
          <w:lang w:val="x-none"/>
        </w:rPr>
        <w:t>i</w:t>
      </w:r>
      <w:r>
        <w:rPr>
          <w:rFonts w:ascii="Arial" w:hAnsi="Arial" w:cs="Times New Roman" w:hint="eastAsia"/>
          <w:b/>
          <w:kern w:val="0"/>
          <w:sz w:val="24"/>
          <w:szCs w:val="20"/>
          <w:lang w:val="x-none"/>
        </w:rPr>
        <w:t>mulation</w:t>
      </w:r>
      <w:r>
        <w:rPr>
          <w:rFonts w:ascii="Arial" w:hAnsi="Arial" w:cs="Times New Roman"/>
          <w:b/>
          <w:kern w:val="0"/>
          <w:sz w:val="24"/>
          <w:szCs w:val="20"/>
          <w:lang w:val="x-none"/>
        </w:rPr>
        <w:t xml:space="preserve"> assumptions</w:t>
      </w:r>
    </w:p>
    <w:p w:rsidR="00DC3B5F" w:rsidRDefault="00BC02F4" w:rsidP="00DC3B5F">
      <w:pPr>
        <w:widowControl/>
        <w:spacing w:before="240" w:after="120"/>
        <w:rPr>
          <w:rFonts w:ascii="Times New Roman" w:hAnsi="Times New Roman" w:cs="Times New Roman"/>
          <w:kern w:val="0"/>
          <w:sz w:val="20"/>
          <w:szCs w:val="20"/>
          <w:lang w:val="en-GB"/>
        </w:rPr>
      </w:pPr>
      <w:r w:rsidRPr="00AE31E2">
        <w:rPr>
          <w:rFonts w:ascii="Times New Roman" w:hAnsi="Times New Roman" w:cs="Times New Roman"/>
          <w:bCs/>
          <w:iCs/>
          <w:sz w:val="20"/>
          <w:szCs w:val="20"/>
        </w:rPr>
        <w:t>For SBFD Deployment Case 1</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w:t>
      </w:r>
      <w:r>
        <w:rPr>
          <w:rFonts w:ascii="Times New Roman" w:hAnsi="Times New Roman" w:cs="Times New Roman"/>
          <w:kern w:val="0"/>
          <w:sz w:val="20"/>
          <w:szCs w:val="20"/>
          <w:lang w:val="en-GB"/>
        </w:rPr>
        <w:t xml:space="preserve"> term of</w:t>
      </w:r>
      <w:r w:rsidR="005F7D15" w:rsidRPr="00303BE0">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 xml:space="preserve">chair notes of </w:t>
      </w:r>
      <w:r w:rsidRPr="00BC02F4">
        <w:rPr>
          <w:rFonts w:ascii="Times New Roman" w:eastAsia="宋体" w:hAnsi="Times New Roman" w:cs="Times New Roman"/>
          <w:kern w:val="0"/>
          <w:sz w:val="20"/>
          <w:szCs w:val="20"/>
          <w:lang w:val="en-GB"/>
        </w:rPr>
        <w:t>RAN1#109-e</w:t>
      </w:r>
      <w:r w:rsidR="005F7D15" w:rsidRPr="00303BE0">
        <w:rPr>
          <w:rFonts w:ascii="Times New Roman" w:hAnsi="Times New Roman" w:cs="Times New Roman"/>
          <w:kern w:val="0"/>
          <w:sz w:val="20"/>
          <w:szCs w:val="20"/>
          <w:lang w:val="en-GB"/>
        </w:rPr>
        <w:t xml:space="preserve"> [</w:t>
      </w:r>
      <w:r w:rsidR="00B65C18" w:rsidRPr="00303BE0">
        <w:rPr>
          <w:rFonts w:ascii="Times New Roman" w:hAnsi="Times New Roman" w:cs="Times New Roman"/>
          <w:kern w:val="0"/>
          <w:sz w:val="20"/>
          <w:szCs w:val="20"/>
          <w:lang w:val="en-GB"/>
        </w:rPr>
        <w:t>1</w:t>
      </w:r>
      <w:r w:rsidR="00447F0B">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we have the following agreement.</w:t>
      </w:r>
    </w:p>
    <w:tbl>
      <w:tblPr>
        <w:tblStyle w:val="ad"/>
        <w:tblW w:w="0" w:type="auto"/>
        <w:tblLook w:val="04A0" w:firstRow="1" w:lastRow="0" w:firstColumn="1" w:lastColumn="0" w:noHBand="0" w:noVBand="1"/>
      </w:tblPr>
      <w:tblGrid>
        <w:gridCol w:w="9060"/>
      </w:tblGrid>
      <w:tr w:rsidR="00BC02F4" w:rsidTr="00BC02F4">
        <w:tc>
          <w:tcPr>
            <w:tcW w:w="9060" w:type="dxa"/>
          </w:tcPr>
          <w:p w:rsidR="00BC02F4" w:rsidRPr="00AE31E2" w:rsidRDefault="00BC02F4" w:rsidP="00BC02F4">
            <w:pPr>
              <w:rPr>
                <w:lang w:eastAsia="ko-KR"/>
              </w:rPr>
            </w:pPr>
            <w:r w:rsidRPr="00AE31E2">
              <w:rPr>
                <w:highlight w:val="green"/>
                <w:lang w:eastAsia="ko-KR"/>
              </w:rPr>
              <w:t>Agreement</w:t>
            </w:r>
          </w:p>
          <w:p w:rsidR="00BC02F4" w:rsidRPr="00AE31E2" w:rsidRDefault="00BC02F4" w:rsidP="00BC02F4">
            <w:pPr>
              <w:rPr>
                <w:bCs/>
                <w:iCs/>
              </w:rPr>
            </w:pPr>
            <w:r w:rsidRPr="00AE31E2">
              <w:rPr>
                <w:bCs/>
                <w:iCs/>
              </w:rPr>
              <w:t>For SBFD Deployment Case 1, at least consider the following scenarios for evaluation:</w:t>
            </w:r>
          </w:p>
          <w:p w:rsidR="00BC02F4" w:rsidRPr="00AE31E2" w:rsidRDefault="00BC02F4" w:rsidP="00BC02F4">
            <w:pPr>
              <w:pStyle w:val="a6"/>
              <w:widowControl/>
              <w:numPr>
                <w:ilvl w:val="0"/>
                <w:numId w:val="21"/>
              </w:numPr>
              <w:overflowPunct w:val="0"/>
              <w:autoSpaceDE w:val="0"/>
              <w:autoSpaceDN w:val="0"/>
              <w:adjustRightInd w:val="0"/>
              <w:ind w:left="714" w:firstLineChars="0" w:hanging="357"/>
              <w:contextualSpacing/>
              <w:jc w:val="left"/>
              <w:textAlignment w:val="baseline"/>
              <w:rPr>
                <w:bCs/>
                <w:iCs/>
              </w:rPr>
            </w:pPr>
            <w:r w:rsidRPr="00AE31E2">
              <w:rPr>
                <w:bCs/>
                <w:iCs/>
              </w:rPr>
              <w:t>For FR1,</w:t>
            </w:r>
          </w:p>
          <w:p w:rsidR="00BC02F4" w:rsidRPr="00AE31E2" w:rsidRDefault="00BC02F4" w:rsidP="00BC02F4">
            <w:pPr>
              <w:pStyle w:val="a6"/>
              <w:widowControl/>
              <w:numPr>
                <w:ilvl w:val="1"/>
                <w:numId w:val="21"/>
              </w:numPr>
              <w:overflowPunct w:val="0"/>
              <w:autoSpaceDE w:val="0"/>
              <w:autoSpaceDN w:val="0"/>
              <w:adjustRightInd w:val="0"/>
              <w:ind w:firstLineChars="0"/>
              <w:contextualSpacing/>
              <w:jc w:val="left"/>
              <w:textAlignment w:val="baseline"/>
              <w:rPr>
                <w:bCs/>
                <w:iCs/>
              </w:rPr>
            </w:pPr>
            <w:r w:rsidRPr="00AE31E2">
              <w:rPr>
                <w:bCs/>
                <w:iCs/>
              </w:rPr>
              <w:t>Indoor office (use Indoor office defined in TR38.802/TR38.901 as starting point)</w:t>
            </w:r>
          </w:p>
          <w:p w:rsidR="00BC02F4" w:rsidRPr="00AE31E2" w:rsidRDefault="00BC02F4" w:rsidP="00BC02F4">
            <w:pPr>
              <w:pStyle w:val="a6"/>
              <w:widowControl/>
              <w:numPr>
                <w:ilvl w:val="1"/>
                <w:numId w:val="21"/>
              </w:numPr>
              <w:overflowPunct w:val="0"/>
              <w:autoSpaceDE w:val="0"/>
              <w:autoSpaceDN w:val="0"/>
              <w:adjustRightInd w:val="0"/>
              <w:ind w:firstLineChars="0"/>
              <w:contextualSpacing/>
              <w:jc w:val="left"/>
              <w:textAlignment w:val="baseline"/>
              <w:rPr>
                <w:bCs/>
                <w:iCs/>
              </w:rPr>
            </w:pPr>
            <w:r w:rsidRPr="00AE31E2">
              <w:rPr>
                <w:bCs/>
                <w:iCs/>
              </w:rPr>
              <w:t>Urban macro (use Urban macro defined in TR38.802/TR38.901 as starting point)</w:t>
            </w:r>
          </w:p>
          <w:p w:rsidR="00BC02F4" w:rsidRPr="00AE31E2" w:rsidRDefault="00BC02F4" w:rsidP="00BC02F4">
            <w:pPr>
              <w:pStyle w:val="a6"/>
              <w:widowControl/>
              <w:numPr>
                <w:ilvl w:val="2"/>
                <w:numId w:val="21"/>
              </w:numPr>
              <w:overflowPunct w:val="0"/>
              <w:autoSpaceDE w:val="0"/>
              <w:autoSpaceDN w:val="0"/>
              <w:adjustRightInd w:val="0"/>
              <w:ind w:firstLineChars="0"/>
              <w:contextualSpacing/>
              <w:jc w:val="left"/>
              <w:textAlignment w:val="baseline"/>
              <w:rPr>
                <w:bCs/>
                <w:iCs/>
              </w:rPr>
            </w:pPr>
            <w:r w:rsidRPr="00AE31E2">
              <w:rPr>
                <w:bCs/>
                <w:iCs/>
              </w:rPr>
              <w:t>FFS: UE outdoor/indoor proportion, clustering, etc</w:t>
            </w:r>
          </w:p>
          <w:p w:rsidR="00BC02F4" w:rsidRPr="00AE31E2" w:rsidRDefault="00BC02F4" w:rsidP="00BC02F4">
            <w:pPr>
              <w:pStyle w:val="a6"/>
              <w:widowControl/>
              <w:numPr>
                <w:ilvl w:val="1"/>
                <w:numId w:val="21"/>
              </w:numPr>
              <w:overflowPunct w:val="0"/>
              <w:autoSpaceDE w:val="0"/>
              <w:autoSpaceDN w:val="0"/>
              <w:adjustRightInd w:val="0"/>
              <w:ind w:firstLineChars="0"/>
              <w:contextualSpacing/>
              <w:jc w:val="left"/>
              <w:textAlignment w:val="baseline"/>
              <w:rPr>
                <w:bCs/>
                <w:iCs/>
              </w:rPr>
            </w:pPr>
            <w:r w:rsidRPr="00AE31E2">
              <w:rPr>
                <w:bCs/>
                <w:iCs/>
              </w:rPr>
              <w:t>Optional: Dense Urban with 1-layer or 2-layer (use Dense Urban defined in TR38.802/TR38.901 as starting point)</w:t>
            </w:r>
          </w:p>
          <w:p w:rsidR="00BC02F4" w:rsidRPr="00AE31E2" w:rsidRDefault="00BC02F4" w:rsidP="00BC02F4">
            <w:pPr>
              <w:pStyle w:val="a6"/>
              <w:widowControl/>
              <w:numPr>
                <w:ilvl w:val="1"/>
                <w:numId w:val="21"/>
              </w:numPr>
              <w:overflowPunct w:val="0"/>
              <w:autoSpaceDE w:val="0"/>
              <w:autoSpaceDN w:val="0"/>
              <w:adjustRightInd w:val="0"/>
              <w:ind w:firstLineChars="0"/>
              <w:contextualSpacing/>
              <w:jc w:val="left"/>
              <w:textAlignment w:val="baseline"/>
              <w:rPr>
                <w:bCs/>
                <w:iCs/>
              </w:rPr>
            </w:pPr>
            <w:r w:rsidRPr="00AE31E2">
              <w:rPr>
                <w:bCs/>
                <w:iCs/>
              </w:rPr>
              <w:t>FFS: Rural</w:t>
            </w:r>
          </w:p>
          <w:p w:rsidR="00BC02F4" w:rsidRPr="00AE31E2" w:rsidRDefault="00BC02F4" w:rsidP="00BC02F4">
            <w:pPr>
              <w:pStyle w:val="a6"/>
              <w:widowControl/>
              <w:numPr>
                <w:ilvl w:val="0"/>
                <w:numId w:val="21"/>
              </w:numPr>
              <w:overflowPunct w:val="0"/>
              <w:autoSpaceDE w:val="0"/>
              <w:autoSpaceDN w:val="0"/>
              <w:adjustRightInd w:val="0"/>
              <w:ind w:left="714" w:firstLineChars="0" w:hanging="357"/>
              <w:contextualSpacing/>
              <w:jc w:val="left"/>
              <w:textAlignment w:val="baseline"/>
              <w:rPr>
                <w:bCs/>
                <w:iCs/>
              </w:rPr>
            </w:pPr>
            <w:r w:rsidRPr="00AE31E2">
              <w:rPr>
                <w:bCs/>
                <w:iCs/>
              </w:rPr>
              <w:t>For FR2-1,</w:t>
            </w:r>
          </w:p>
          <w:p w:rsidR="00BC02F4" w:rsidRPr="00AE31E2" w:rsidRDefault="00BC02F4" w:rsidP="00BC02F4">
            <w:pPr>
              <w:pStyle w:val="a6"/>
              <w:widowControl/>
              <w:numPr>
                <w:ilvl w:val="1"/>
                <w:numId w:val="21"/>
              </w:numPr>
              <w:overflowPunct w:val="0"/>
              <w:autoSpaceDE w:val="0"/>
              <w:autoSpaceDN w:val="0"/>
              <w:adjustRightInd w:val="0"/>
              <w:ind w:firstLineChars="0"/>
              <w:contextualSpacing/>
              <w:jc w:val="left"/>
              <w:textAlignment w:val="baseline"/>
              <w:rPr>
                <w:bCs/>
                <w:iCs/>
              </w:rPr>
            </w:pPr>
            <w:r w:rsidRPr="00AE31E2">
              <w:rPr>
                <w:bCs/>
                <w:iCs/>
              </w:rPr>
              <w:t>Indoor office (use Indoor office defined in TR38.802/TR38.901 as starting point)</w:t>
            </w:r>
          </w:p>
          <w:p w:rsidR="00BC02F4" w:rsidRPr="00AE31E2" w:rsidRDefault="00BC02F4" w:rsidP="00BC02F4">
            <w:pPr>
              <w:pStyle w:val="a6"/>
              <w:widowControl/>
              <w:numPr>
                <w:ilvl w:val="1"/>
                <w:numId w:val="21"/>
              </w:numPr>
              <w:overflowPunct w:val="0"/>
              <w:autoSpaceDE w:val="0"/>
              <w:autoSpaceDN w:val="0"/>
              <w:adjustRightInd w:val="0"/>
              <w:ind w:firstLineChars="0"/>
              <w:contextualSpacing/>
              <w:jc w:val="left"/>
              <w:textAlignment w:val="baseline"/>
              <w:rPr>
                <w:bCs/>
                <w:iCs/>
              </w:rPr>
            </w:pPr>
            <w:r w:rsidRPr="00AE31E2">
              <w:rPr>
                <w:bCs/>
                <w:iCs/>
              </w:rPr>
              <w:t>Dense Urban Macro layer (use Dense Urban defined in TR38.802 as starting point)</w:t>
            </w:r>
          </w:p>
          <w:p w:rsidR="00BC02F4" w:rsidRPr="00AE31E2" w:rsidRDefault="00BC02F4" w:rsidP="00BC02F4">
            <w:pPr>
              <w:pStyle w:val="a6"/>
              <w:widowControl/>
              <w:numPr>
                <w:ilvl w:val="2"/>
                <w:numId w:val="21"/>
              </w:numPr>
              <w:overflowPunct w:val="0"/>
              <w:autoSpaceDE w:val="0"/>
              <w:autoSpaceDN w:val="0"/>
              <w:adjustRightInd w:val="0"/>
              <w:ind w:firstLineChars="0"/>
              <w:contextualSpacing/>
              <w:jc w:val="left"/>
              <w:textAlignment w:val="baseline"/>
              <w:rPr>
                <w:bCs/>
                <w:iCs/>
              </w:rPr>
            </w:pPr>
            <w:r w:rsidRPr="00AE31E2">
              <w:rPr>
                <w:bCs/>
                <w:iCs/>
              </w:rPr>
              <w:t>FFS: UE outdoor/indoor proportion, clustering, etc</w:t>
            </w:r>
          </w:p>
          <w:p w:rsidR="00BC02F4" w:rsidRPr="00AE31E2" w:rsidRDefault="00BC02F4" w:rsidP="00BC02F4">
            <w:pPr>
              <w:pStyle w:val="a6"/>
              <w:widowControl/>
              <w:numPr>
                <w:ilvl w:val="1"/>
                <w:numId w:val="21"/>
              </w:numPr>
              <w:overflowPunct w:val="0"/>
              <w:autoSpaceDE w:val="0"/>
              <w:autoSpaceDN w:val="0"/>
              <w:adjustRightInd w:val="0"/>
              <w:ind w:firstLineChars="0"/>
              <w:contextualSpacing/>
              <w:jc w:val="left"/>
              <w:textAlignment w:val="baseline"/>
              <w:rPr>
                <w:bCs/>
                <w:iCs/>
              </w:rPr>
            </w:pPr>
            <w:r w:rsidRPr="00AE31E2">
              <w:rPr>
                <w:bCs/>
                <w:iCs/>
              </w:rPr>
              <w:t>Optional: Dense Urban micro (use Dense Urban micro defined in TR38.802/TR38.901 as starting point)</w:t>
            </w:r>
          </w:p>
          <w:p w:rsidR="00BC02F4" w:rsidRPr="00AE31E2" w:rsidRDefault="00BC02F4" w:rsidP="00BC02F4">
            <w:pPr>
              <w:pStyle w:val="a6"/>
              <w:widowControl/>
              <w:numPr>
                <w:ilvl w:val="0"/>
                <w:numId w:val="21"/>
              </w:numPr>
              <w:overflowPunct w:val="0"/>
              <w:autoSpaceDE w:val="0"/>
              <w:autoSpaceDN w:val="0"/>
              <w:adjustRightInd w:val="0"/>
              <w:ind w:left="714" w:firstLineChars="0" w:hanging="357"/>
              <w:contextualSpacing/>
              <w:jc w:val="left"/>
              <w:textAlignment w:val="baseline"/>
              <w:rPr>
                <w:bCs/>
                <w:iCs/>
              </w:rPr>
            </w:pPr>
            <w:r w:rsidRPr="00AE31E2">
              <w:rPr>
                <w:bCs/>
                <w:iCs/>
              </w:rPr>
              <w:t>FFS: Whether FR2-2 is considered or not in Rel-18.</w:t>
            </w:r>
          </w:p>
          <w:p w:rsidR="00BC02F4" w:rsidRPr="00BC02F4" w:rsidRDefault="00BC02F4" w:rsidP="00BC02F4">
            <w:pPr>
              <w:rPr>
                <w:bCs/>
                <w:iCs/>
              </w:rPr>
            </w:pPr>
            <w:r w:rsidRPr="00AE31E2">
              <w:rPr>
                <w:bCs/>
                <w:iCs/>
              </w:rPr>
              <w:t xml:space="preserve">Note: For optional scenarios, they can be captured in TR and it is up to each company to provide the results. The results can be </w:t>
            </w:r>
            <w:r w:rsidRPr="00AE31E2">
              <w:rPr>
                <w:rFonts w:eastAsia="Malgun Gothic"/>
                <w:bCs/>
              </w:rPr>
              <w:t>used to draw conclusion/recommendation d</w:t>
            </w:r>
            <w:r w:rsidRPr="00AE31E2">
              <w:rPr>
                <w:bCs/>
                <w:iCs/>
              </w:rPr>
              <w:t>epending on the number of companies providing the results</w:t>
            </w:r>
            <w:r w:rsidRPr="00AE31E2">
              <w:rPr>
                <w:rFonts w:eastAsia="Malgun Gothic"/>
                <w:bCs/>
              </w:rPr>
              <w:t>.</w:t>
            </w:r>
          </w:p>
        </w:tc>
      </w:tr>
    </w:tbl>
    <w:p w:rsidR="00BC02F4" w:rsidRPr="008B4320" w:rsidRDefault="00BC02F4" w:rsidP="00DC3B5F">
      <w:pPr>
        <w:widowControl/>
        <w:spacing w:before="240" w:after="120"/>
        <w:rPr>
          <w:rFonts w:ascii="Times New Roman" w:hAnsi="Times New Roman" w:cs="Times New Roman"/>
          <w:bCs/>
          <w:iCs/>
          <w:sz w:val="20"/>
          <w:szCs w:val="20"/>
        </w:rPr>
      </w:pPr>
      <w:r w:rsidRPr="008B4320">
        <w:rPr>
          <w:rFonts w:ascii="Times New Roman" w:hAnsi="Times New Roman" w:cs="Times New Roman"/>
          <w:bCs/>
          <w:iCs/>
          <w:sz w:val="20"/>
          <w:szCs w:val="20"/>
        </w:rPr>
        <w:t xml:space="preserve">For FR2-2, </w:t>
      </w:r>
      <w:r w:rsidR="00293921" w:rsidRPr="008B4320">
        <w:rPr>
          <w:rFonts w:ascii="Times New Roman" w:hAnsi="Times New Roman" w:cs="Times New Roman"/>
          <w:bCs/>
          <w:iCs/>
          <w:sz w:val="20"/>
          <w:szCs w:val="20"/>
        </w:rPr>
        <w:t xml:space="preserve">due to the high path loss, small number of users and small cell coverage, </w:t>
      </w:r>
      <w:r w:rsidRPr="008B4320">
        <w:rPr>
          <w:rFonts w:ascii="Times New Roman" w:hAnsi="Times New Roman" w:cs="Times New Roman"/>
          <w:bCs/>
          <w:iCs/>
          <w:sz w:val="20"/>
          <w:szCs w:val="20"/>
        </w:rPr>
        <w:t xml:space="preserve">it should be deprioritized for </w:t>
      </w:r>
      <w:r w:rsidR="00293921" w:rsidRPr="008B4320">
        <w:rPr>
          <w:rFonts w:ascii="Times New Roman" w:hAnsi="Times New Roman" w:cs="Times New Roman"/>
          <w:bCs/>
          <w:iCs/>
          <w:sz w:val="20"/>
          <w:szCs w:val="20"/>
        </w:rPr>
        <w:t xml:space="preserve">both </w:t>
      </w:r>
      <w:r w:rsidRPr="008B4320">
        <w:rPr>
          <w:rFonts w:ascii="Times New Roman" w:hAnsi="Times New Roman" w:cs="Times New Roman"/>
          <w:bCs/>
          <w:iCs/>
          <w:sz w:val="20"/>
          <w:szCs w:val="20"/>
        </w:rPr>
        <w:t>SBFD operation</w:t>
      </w:r>
      <w:r w:rsidR="00293921" w:rsidRPr="008B4320">
        <w:rPr>
          <w:rFonts w:ascii="Times New Roman" w:hAnsi="Times New Roman" w:cs="Times New Roman"/>
          <w:bCs/>
          <w:iCs/>
          <w:sz w:val="20"/>
          <w:szCs w:val="20"/>
        </w:rPr>
        <w:t xml:space="preserve"> and flexible TDD</w:t>
      </w:r>
      <w:r w:rsidRPr="008B4320">
        <w:rPr>
          <w:rFonts w:ascii="Times New Roman" w:hAnsi="Times New Roman" w:cs="Times New Roman"/>
          <w:bCs/>
          <w:iCs/>
          <w:sz w:val="20"/>
          <w:szCs w:val="20"/>
        </w:rPr>
        <w:t xml:space="preserve">. </w:t>
      </w:r>
    </w:p>
    <w:p w:rsidR="00293921" w:rsidRDefault="00293921" w:rsidP="00293921">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1: </w:t>
      </w:r>
      <w:r>
        <w:rPr>
          <w:rFonts w:ascii="Times New Roman" w:eastAsia="宋体" w:hAnsi="Times New Roman" w:cs="Times New Roman"/>
          <w:b/>
          <w:kern w:val="0"/>
          <w:sz w:val="20"/>
          <w:szCs w:val="20"/>
          <w:lang w:val="en-GB"/>
        </w:rPr>
        <w:t xml:space="preserve">For </w:t>
      </w:r>
      <w:r w:rsidRPr="00293921">
        <w:rPr>
          <w:rFonts w:ascii="Times New Roman" w:eastAsia="宋体" w:hAnsi="Times New Roman" w:cs="Times New Roman"/>
          <w:b/>
          <w:kern w:val="0"/>
          <w:sz w:val="20"/>
          <w:szCs w:val="20"/>
          <w:lang w:val="en-GB"/>
        </w:rPr>
        <w:t>SBFD Deployment Case 1</w:t>
      </w:r>
      <w:r>
        <w:rPr>
          <w:rFonts w:ascii="Times New Roman" w:eastAsia="宋体" w:hAnsi="Times New Roman" w:cs="Times New Roman"/>
          <w:b/>
          <w:kern w:val="0"/>
          <w:sz w:val="20"/>
          <w:szCs w:val="20"/>
          <w:lang w:val="en-GB"/>
        </w:rPr>
        <w:t>,</w:t>
      </w:r>
      <w:r w:rsidRPr="00293921">
        <w:t xml:space="preserve"> </w:t>
      </w:r>
      <w:r w:rsidRPr="00293921">
        <w:rPr>
          <w:rFonts w:ascii="Times New Roman" w:eastAsia="宋体" w:hAnsi="Times New Roman" w:cs="Times New Roman"/>
          <w:b/>
          <w:kern w:val="0"/>
          <w:sz w:val="20"/>
          <w:szCs w:val="20"/>
          <w:lang w:val="en-GB"/>
        </w:rPr>
        <w:t>FR2-2</w:t>
      </w:r>
      <w:r>
        <w:rPr>
          <w:rFonts w:ascii="Times New Roman" w:eastAsia="宋体" w:hAnsi="Times New Roman" w:cs="Times New Roman"/>
          <w:b/>
          <w:kern w:val="0"/>
          <w:sz w:val="20"/>
          <w:szCs w:val="20"/>
          <w:lang w:val="en-GB"/>
        </w:rPr>
        <w:t xml:space="preserve"> </w:t>
      </w:r>
      <w:r w:rsidRPr="00293921">
        <w:rPr>
          <w:rFonts w:ascii="Times New Roman" w:eastAsia="宋体" w:hAnsi="Times New Roman" w:cs="Times New Roman"/>
          <w:b/>
          <w:kern w:val="0"/>
          <w:sz w:val="20"/>
          <w:szCs w:val="20"/>
          <w:lang w:val="en-GB"/>
        </w:rPr>
        <w:t>should be deprioritized for both SBFD operation and flexible TDD</w:t>
      </w:r>
      <w:r>
        <w:rPr>
          <w:rFonts w:ascii="Times New Roman" w:eastAsia="宋体" w:hAnsi="Times New Roman" w:cs="Times New Roman"/>
          <w:b/>
          <w:kern w:val="0"/>
          <w:sz w:val="20"/>
          <w:szCs w:val="20"/>
          <w:lang w:val="en-GB"/>
        </w:rPr>
        <w:t>.</w:t>
      </w:r>
    </w:p>
    <w:p w:rsidR="00293921" w:rsidRPr="008B4320" w:rsidRDefault="008B4320" w:rsidP="00DC3B5F">
      <w:pPr>
        <w:widowControl/>
        <w:spacing w:before="240" w:after="120"/>
        <w:rPr>
          <w:rFonts w:ascii="Times New Roman" w:hAnsi="Times New Roman" w:cs="Times New Roman"/>
          <w:bCs/>
          <w:iCs/>
          <w:sz w:val="20"/>
          <w:szCs w:val="20"/>
        </w:rPr>
      </w:pPr>
      <w:r w:rsidRPr="008B4320">
        <w:rPr>
          <w:rFonts w:ascii="Times New Roman" w:hAnsi="Times New Roman" w:cs="Times New Roman"/>
          <w:bCs/>
          <w:iCs/>
          <w:sz w:val="20"/>
          <w:szCs w:val="20"/>
        </w:rPr>
        <w:t>For metrics considered for SBFD and dynamic/flexible TDD evaluation,</w:t>
      </w:r>
      <w:r>
        <w:rPr>
          <w:rFonts w:ascii="Times New Roman" w:hAnsi="Times New Roman" w:cs="Times New Roman"/>
          <w:bCs/>
          <w:iCs/>
          <w:sz w:val="20"/>
          <w:szCs w:val="20"/>
        </w:rPr>
        <w:t xml:space="preserve"> we have </w:t>
      </w:r>
      <w:r>
        <w:rPr>
          <w:rFonts w:ascii="Times New Roman" w:hAnsi="Times New Roman" w:cs="Times New Roman"/>
          <w:kern w:val="0"/>
          <w:sz w:val="20"/>
          <w:szCs w:val="20"/>
          <w:lang w:val="en-GB"/>
        </w:rPr>
        <w:t xml:space="preserve">the following agreement in </w:t>
      </w:r>
      <w:r w:rsidRPr="00BC02F4">
        <w:rPr>
          <w:rFonts w:ascii="Times New Roman" w:eastAsia="宋体" w:hAnsi="Times New Roman" w:cs="Times New Roman"/>
          <w:kern w:val="0"/>
          <w:sz w:val="20"/>
          <w:szCs w:val="20"/>
          <w:lang w:val="en-GB"/>
        </w:rPr>
        <w:t>RAN1#109-e</w:t>
      </w:r>
      <w:r w:rsidRPr="00303BE0">
        <w:rPr>
          <w:rFonts w:ascii="Times New Roman" w:hAnsi="Times New Roman" w:cs="Times New Roman"/>
          <w:kern w:val="0"/>
          <w:sz w:val="20"/>
          <w:szCs w:val="20"/>
          <w:lang w:val="en-GB"/>
        </w:rPr>
        <w:t xml:space="preserve"> [1</w:t>
      </w:r>
      <w:r>
        <w:rPr>
          <w:rFonts w:ascii="Times New Roman" w:hAnsi="Times New Roman" w:cs="Times New Roman"/>
          <w:kern w:val="0"/>
          <w:sz w:val="20"/>
          <w:szCs w:val="20"/>
          <w:lang w:val="en-GB"/>
        </w:rPr>
        <w:t>].</w:t>
      </w:r>
    </w:p>
    <w:tbl>
      <w:tblPr>
        <w:tblStyle w:val="ad"/>
        <w:tblW w:w="0" w:type="auto"/>
        <w:tblLook w:val="04A0" w:firstRow="1" w:lastRow="0" w:firstColumn="1" w:lastColumn="0" w:noHBand="0" w:noVBand="1"/>
      </w:tblPr>
      <w:tblGrid>
        <w:gridCol w:w="9060"/>
      </w:tblGrid>
      <w:tr w:rsidR="008B4320" w:rsidTr="008B4320">
        <w:tc>
          <w:tcPr>
            <w:tcW w:w="9060" w:type="dxa"/>
          </w:tcPr>
          <w:p w:rsidR="008B4320" w:rsidRPr="00AE31E2" w:rsidRDefault="008B4320" w:rsidP="008B4320">
            <w:pPr>
              <w:rPr>
                <w:highlight w:val="green"/>
                <w:lang w:eastAsia="ko-KR"/>
              </w:rPr>
            </w:pPr>
            <w:r w:rsidRPr="00AE31E2">
              <w:rPr>
                <w:highlight w:val="green"/>
                <w:lang w:eastAsia="ko-KR"/>
              </w:rPr>
              <w:t>Agreement</w:t>
            </w:r>
          </w:p>
          <w:p w:rsidR="008B4320" w:rsidRPr="00AE31E2" w:rsidRDefault="008B4320" w:rsidP="008B4320">
            <w:pPr>
              <w:rPr>
                <w:iCs/>
              </w:rPr>
            </w:pPr>
            <w:r w:rsidRPr="00AE31E2">
              <w:rPr>
                <w:iCs/>
              </w:rPr>
              <w:t>At least the following metrics are considered for SBFD and dynamic/flexible TDD evaluation.</w:t>
            </w:r>
          </w:p>
          <w:p w:rsidR="008B4320" w:rsidRPr="00AE31E2" w:rsidRDefault="008B4320" w:rsidP="008B4320">
            <w:pPr>
              <w:pStyle w:val="a6"/>
              <w:widowControl/>
              <w:numPr>
                <w:ilvl w:val="0"/>
                <w:numId w:val="22"/>
              </w:numPr>
              <w:spacing w:line="259" w:lineRule="auto"/>
              <w:ind w:firstLineChars="0"/>
              <w:jc w:val="left"/>
              <w:rPr>
                <w:iCs/>
                <w:color w:val="000000"/>
              </w:rPr>
            </w:pPr>
            <w:r w:rsidRPr="00AE31E2">
              <w:rPr>
                <w:iCs/>
                <w:color w:val="000000"/>
              </w:rPr>
              <w:t>DL/UL UPT or user throughput (CDF or {mean, 5%, 50%, 95%}) using SLS</w:t>
            </w:r>
          </w:p>
          <w:p w:rsidR="008B4320" w:rsidRPr="00AE31E2" w:rsidRDefault="008B4320" w:rsidP="008B4320">
            <w:pPr>
              <w:pStyle w:val="a6"/>
              <w:widowControl/>
              <w:numPr>
                <w:ilvl w:val="0"/>
                <w:numId w:val="22"/>
              </w:numPr>
              <w:spacing w:line="259" w:lineRule="auto"/>
              <w:ind w:firstLineChars="0"/>
              <w:jc w:val="left"/>
              <w:rPr>
                <w:iCs/>
                <w:color w:val="000000"/>
              </w:rPr>
            </w:pPr>
            <w:r w:rsidRPr="00AE31E2">
              <w:rPr>
                <w:iCs/>
                <w:color w:val="000000"/>
              </w:rPr>
              <w:t>Latency (CDF or {mean, 5%, 50%, 95%}) using SLS</w:t>
            </w:r>
          </w:p>
          <w:p w:rsidR="008B4320" w:rsidRPr="00AE31E2" w:rsidRDefault="008B4320" w:rsidP="008B4320">
            <w:pPr>
              <w:pStyle w:val="a6"/>
              <w:widowControl/>
              <w:numPr>
                <w:ilvl w:val="0"/>
                <w:numId w:val="22"/>
              </w:numPr>
              <w:spacing w:line="259" w:lineRule="auto"/>
              <w:ind w:firstLineChars="0"/>
              <w:jc w:val="left"/>
              <w:rPr>
                <w:iCs/>
                <w:color w:val="000000"/>
              </w:rPr>
            </w:pPr>
            <w:r w:rsidRPr="00AE31E2">
              <w:rPr>
                <w:iCs/>
                <w:color w:val="000000"/>
              </w:rPr>
              <w:lastRenderedPageBreak/>
              <w:t>Resource utilization using SLS</w:t>
            </w:r>
          </w:p>
          <w:p w:rsidR="008B4320" w:rsidRPr="00AE31E2" w:rsidRDefault="008B4320" w:rsidP="008B4320">
            <w:pPr>
              <w:pStyle w:val="a6"/>
              <w:widowControl/>
              <w:numPr>
                <w:ilvl w:val="0"/>
                <w:numId w:val="22"/>
              </w:numPr>
              <w:spacing w:line="259" w:lineRule="auto"/>
              <w:ind w:firstLineChars="0"/>
              <w:jc w:val="left"/>
              <w:rPr>
                <w:iCs/>
                <w:color w:val="000000"/>
              </w:rPr>
            </w:pPr>
            <w:r w:rsidRPr="00AE31E2">
              <w:rPr>
                <w:iCs/>
                <w:color w:val="000000"/>
              </w:rPr>
              <w:t>DL/UL received SINR using SLS</w:t>
            </w:r>
          </w:p>
          <w:p w:rsidR="008B4320" w:rsidRPr="00AE31E2" w:rsidRDefault="008B4320" w:rsidP="008B4320">
            <w:pPr>
              <w:pStyle w:val="a6"/>
              <w:widowControl/>
              <w:numPr>
                <w:ilvl w:val="0"/>
                <w:numId w:val="22"/>
              </w:numPr>
              <w:spacing w:line="259" w:lineRule="auto"/>
              <w:ind w:firstLineChars="0"/>
              <w:jc w:val="left"/>
              <w:rPr>
                <w:iCs/>
              </w:rPr>
            </w:pPr>
            <w:r w:rsidRPr="00AE31E2">
              <w:rPr>
                <w:iCs/>
              </w:rPr>
              <w:t>Coverage metric</w:t>
            </w:r>
          </w:p>
          <w:p w:rsidR="008B4320" w:rsidRPr="00AE31E2" w:rsidRDefault="008B4320" w:rsidP="008B4320">
            <w:pPr>
              <w:pStyle w:val="a6"/>
              <w:widowControl/>
              <w:numPr>
                <w:ilvl w:val="1"/>
                <w:numId w:val="22"/>
              </w:numPr>
              <w:spacing w:line="259" w:lineRule="auto"/>
              <w:ind w:firstLineChars="0"/>
              <w:jc w:val="left"/>
              <w:rPr>
                <w:iCs/>
              </w:rPr>
            </w:pPr>
            <w:r w:rsidRPr="00AE31E2">
              <w:rPr>
                <w:iCs/>
              </w:rPr>
              <w:t>FFS: MPL to achieve a certain bit rate in UL and DL</w:t>
            </w:r>
          </w:p>
          <w:p w:rsidR="008B4320" w:rsidRDefault="008B4320" w:rsidP="008B4320">
            <w:pPr>
              <w:pStyle w:val="a6"/>
              <w:widowControl/>
              <w:numPr>
                <w:ilvl w:val="0"/>
                <w:numId w:val="22"/>
              </w:numPr>
              <w:spacing w:line="259" w:lineRule="auto"/>
              <w:ind w:firstLineChars="0"/>
              <w:jc w:val="left"/>
              <w:rPr>
                <w:iCs/>
                <w:color w:val="000000"/>
              </w:rPr>
            </w:pPr>
            <w:r w:rsidRPr="00AE31E2">
              <w:rPr>
                <w:iCs/>
                <w:color w:val="000000"/>
              </w:rPr>
              <w:t>FFS: definitions of the above metrics</w:t>
            </w:r>
          </w:p>
          <w:p w:rsidR="008B4320" w:rsidRPr="008B4320" w:rsidRDefault="008B4320" w:rsidP="008B4320">
            <w:pPr>
              <w:pStyle w:val="a6"/>
              <w:widowControl/>
              <w:numPr>
                <w:ilvl w:val="0"/>
                <w:numId w:val="22"/>
              </w:numPr>
              <w:spacing w:line="259" w:lineRule="auto"/>
              <w:ind w:firstLineChars="0"/>
              <w:jc w:val="left"/>
              <w:rPr>
                <w:iCs/>
                <w:color w:val="000000"/>
              </w:rPr>
            </w:pPr>
            <w:r w:rsidRPr="008B4320">
              <w:rPr>
                <w:iCs/>
                <w:color w:val="000000"/>
              </w:rPr>
              <w:t>FFS: other metrics</w:t>
            </w:r>
          </w:p>
        </w:tc>
      </w:tr>
    </w:tbl>
    <w:p w:rsidR="007A39A9" w:rsidRPr="007A39A9" w:rsidRDefault="007A39A9" w:rsidP="00303BE0">
      <w:pPr>
        <w:rPr>
          <w:rFonts w:ascii="Times New Roman" w:eastAsia="宋体" w:hAnsi="Times New Roman" w:cs="Times New Roman"/>
          <w:b/>
          <w:kern w:val="0"/>
          <w:sz w:val="20"/>
          <w:szCs w:val="20"/>
        </w:rPr>
      </w:pPr>
    </w:p>
    <w:p w:rsidR="003419CA" w:rsidRDefault="008B4320" w:rsidP="00303BE0">
      <w:pPr>
        <w:rPr>
          <w:rFonts w:ascii="Times New Roman" w:hAnsi="Times New Roman" w:cs="Times New Roman"/>
          <w:kern w:val="0"/>
          <w:sz w:val="20"/>
          <w:szCs w:val="20"/>
          <w:lang w:val="en-GB"/>
        </w:rPr>
      </w:pPr>
      <w:r w:rsidRPr="008B4320">
        <w:rPr>
          <w:rFonts w:ascii="Times New Roman" w:hAnsi="Times New Roman" w:cs="Times New Roman"/>
          <w:kern w:val="0"/>
          <w:sz w:val="20"/>
          <w:szCs w:val="20"/>
          <w:lang w:val="en-GB"/>
        </w:rPr>
        <w:t>Regarding</w:t>
      </w:r>
      <w:r>
        <w:rPr>
          <w:rFonts w:ascii="Times New Roman" w:hAnsi="Times New Roman" w:cs="Times New Roman"/>
          <w:kern w:val="0"/>
          <w:sz w:val="20"/>
          <w:szCs w:val="20"/>
          <w:lang w:val="en-GB"/>
        </w:rPr>
        <w:t xml:space="preserve"> the above-mentioned c</w:t>
      </w:r>
      <w:r w:rsidRPr="008B4320">
        <w:rPr>
          <w:rFonts w:ascii="Times New Roman" w:hAnsi="Times New Roman" w:cs="Times New Roman"/>
          <w:kern w:val="0"/>
          <w:sz w:val="20"/>
          <w:szCs w:val="20"/>
          <w:lang w:val="en-GB"/>
        </w:rPr>
        <w:t>overage metrics</w:t>
      </w:r>
      <w:r>
        <w:rPr>
          <w:rFonts w:ascii="Times New Roman" w:hAnsi="Times New Roman" w:cs="Times New Roman"/>
          <w:kern w:val="0"/>
          <w:sz w:val="20"/>
          <w:szCs w:val="20"/>
          <w:lang w:val="en-GB"/>
        </w:rPr>
        <w:t xml:space="preserve">, </w:t>
      </w:r>
      <w:r w:rsidRPr="008B4320">
        <w:rPr>
          <w:rFonts w:ascii="Times New Roman" w:hAnsi="Times New Roman" w:cs="Times New Roman"/>
          <w:kern w:val="0"/>
          <w:sz w:val="20"/>
          <w:szCs w:val="20"/>
          <w:lang w:val="en-GB"/>
        </w:rPr>
        <w:t>considering the workload</w:t>
      </w:r>
      <w:r>
        <w:rPr>
          <w:rFonts w:ascii="Times New Roman" w:hAnsi="Times New Roman" w:cs="Times New Roman"/>
          <w:kern w:val="0"/>
          <w:sz w:val="20"/>
          <w:szCs w:val="20"/>
          <w:lang w:val="en-GB"/>
        </w:rPr>
        <w:t xml:space="preserve"> of evaluation, it is better to </w:t>
      </w:r>
      <w:r w:rsidRPr="008B4320">
        <w:rPr>
          <w:rFonts w:ascii="Times New Roman" w:hAnsi="Times New Roman" w:cs="Times New Roman"/>
          <w:kern w:val="0"/>
          <w:sz w:val="20"/>
          <w:szCs w:val="20"/>
          <w:lang w:val="en-GB"/>
        </w:rPr>
        <w:t>reuse the coverage performance metrics (e.g., MPL, MCL, MIL) defined in TR 38.830 for coverage evaluation of SBFD</w:t>
      </w:r>
      <w:r>
        <w:rPr>
          <w:rFonts w:ascii="Times New Roman" w:hAnsi="Times New Roman" w:cs="Times New Roman"/>
          <w:kern w:val="0"/>
          <w:sz w:val="20"/>
          <w:szCs w:val="20"/>
          <w:lang w:val="en-GB"/>
        </w:rPr>
        <w:t>.</w:t>
      </w:r>
    </w:p>
    <w:p w:rsidR="008B4320" w:rsidRDefault="008B4320" w:rsidP="00303BE0">
      <w:pPr>
        <w:rPr>
          <w:rFonts w:ascii="Times New Roman" w:hAnsi="Times New Roman" w:cs="Times New Roman"/>
          <w:kern w:val="0"/>
          <w:sz w:val="20"/>
          <w:szCs w:val="20"/>
          <w:lang w:val="en-GB"/>
        </w:rPr>
      </w:pPr>
      <w:r w:rsidRPr="00AD21CF">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2</w:t>
      </w:r>
      <w:r w:rsidRPr="00AD21CF">
        <w:rPr>
          <w:rFonts w:ascii="Times New Roman" w:eastAsia="宋体" w:hAnsi="Times New Roman" w:cs="Times New Roman"/>
          <w:b/>
          <w:kern w:val="0"/>
          <w:sz w:val="20"/>
          <w:szCs w:val="20"/>
          <w:lang w:val="en-GB"/>
        </w:rPr>
        <w:t>:</w:t>
      </w:r>
      <w:r w:rsidR="00157937">
        <w:rPr>
          <w:rFonts w:ascii="Times New Roman" w:eastAsia="宋体" w:hAnsi="Times New Roman" w:cs="Times New Roman"/>
          <w:b/>
          <w:kern w:val="0"/>
          <w:sz w:val="20"/>
          <w:szCs w:val="20"/>
          <w:lang w:val="en-GB"/>
        </w:rPr>
        <w:t xml:space="preserve"> For </w:t>
      </w:r>
      <w:r w:rsidR="00157937" w:rsidRPr="00157937">
        <w:rPr>
          <w:rFonts w:ascii="Times New Roman" w:eastAsia="宋体" w:hAnsi="Times New Roman" w:cs="Times New Roman"/>
          <w:b/>
          <w:kern w:val="0"/>
          <w:sz w:val="20"/>
          <w:szCs w:val="20"/>
          <w:lang w:val="en-GB"/>
        </w:rPr>
        <w:t>metrics considered for SBFD and dynamic/flexible TDD evaluation</w:t>
      </w:r>
      <w:r w:rsidR="00157937">
        <w:rPr>
          <w:rFonts w:ascii="Times New Roman" w:eastAsia="宋体" w:hAnsi="Times New Roman" w:cs="Times New Roman"/>
          <w:b/>
          <w:kern w:val="0"/>
          <w:sz w:val="20"/>
          <w:szCs w:val="20"/>
          <w:lang w:val="en-GB"/>
        </w:rPr>
        <w:t xml:space="preserve">, </w:t>
      </w:r>
      <w:r w:rsidR="00157937" w:rsidRPr="00157937">
        <w:rPr>
          <w:rFonts w:ascii="Times New Roman" w:eastAsia="宋体" w:hAnsi="Times New Roman" w:cs="Times New Roman"/>
          <w:b/>
          <w:kern w:val="0"/>
          <w:sz w:val="20"/>
          <w:szCs w:val="20"/>
          <w:lang w:val="en-GB"/>
        </w:rPr>
        <w:t>the coverage performance metrics (e.g., MPL, MCL, MIL) defined in TR 38.830 for coverage evaluation of SBFD</w:t>
      </w:r>
      <w:r w:rsidR="00157937">
        <w:rPr>
          <w:rFonts w:ascii="Times New Roman" w:eastAsia="宋体" w:hAnsi="Times New Roman" w:cs="Times New Roman"/>
          <w:b/>
          <w:kern w:val="0"/>
          <w:sz w:val="20"/>
          <w:szCs w:val="20"/>
          <w:lang w:val="en-GB"/>
        </w:rPr>
        <w:t xml:space="preserve"> should be reused.</w:t>
      </w:r>
    </w:p>
    <w:p w:rsidR="008B4320" w:rsidRPr="008B4320" w:rsidRDefault="008B4320" w:rsidP="00303BE0">
      <w:pPr>
        <w:rPr>
          <w:rFonts w:ascii="Times New Roman" w:hAnsi="Times New Roman" w:cs="Times New Roman"/>
          <w:kern w:val="0"/>
          <w:sz w:val="20"/>
          <w:szCs w:val="20"/>
          <w:lang w:val="en-GB"/>
        </w:rPr>
      </w:pPr>
    </w:p>
    <w:p w:rsidR="00A578C0" w:rsidRPr="004A06BE" w:rsidRDefault="00A578C0" w:rsidP="003453BC">
      <w:pPr>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DC3B5F">
        <w:rPr>
          <w:rFonts w:ascii="Times New Roman" w:eastAsia="宋体" w:hAnsi="Times New Roman" w:cs="Times New Roman"/>
          <w:kern w:val="0"/>
          <w:sz w:val="20"/>
          <w:szCs w:val="20"/>
          <w:lang w:val="en-GB"/>
        </w:rPr>
        <w:t>e</w:t>
      </w:r>
      <w:r w:rsidR="00DC3B5F" w:rsidRPr="00DC3B5F">
        <w:rPr>
          <w:rFonts w:ascii="Times New Roman" w:eastAsia="宋体" w:hAnsi="Times New Roman" w:cs="Times New Roman"/>
          <w:kern w:val="0"/>
          <w:sz w:val="20"/>
          <w:szCs w:val="20"/>
          <w:lang w:val="en-GB"/>
        </w:rPr>
        <w:t>valuation on NR duplex evolution</w:t>
      </w:r>
      <w:r w:rsidR="003419CA" w:rsidRPr="003419CA">
        <w:rPr>
          <w:rFonts w:ascii="Times New Roman" w:eastAsia="宋体" w:hAnsi="Times New Roman" w:cs="Times New Roman"/>
          <w:kern w:val="0"/>
          <w:sz w:val="20"/>
          <w:szCs w:val="20"/>
          <w:lang w:val="en-GB"/>
        </w:rPr>
        <w:t xml:space="preserve"> </w:t>
      </w:r>
      <w:r w:rsidRPr="004A06BE">
        <w:rPr>
          <w:rFonts w:ascii="Times New Roman" w:eastAsia="宋体" w:hAnsi="Times New Roman" w:cs="Times New Roman" w:hint="eastAsia"/>
          <w:kern w:val="0"/>
          <w:sz w:val="20"/>
          <w:szCs w:val="20"/>
          <w:lang w:val="en-GB"/>
        </w:rPr>
        <w:t>with the following proposal.</w:t>
      </w:r>
    </w:p>
    <w:p w:rsidR="00157937" w:rsidRDefault="00157937" w:rsidP="00157937">
      <w:pPr>
        <w:rPr>
          <w:rFonts w:ascii="Times New Roman" w:eastAsia="宋体" w:hAnsi="Times New Roman" w:cs="Times New Roman"/>
          <w:b/>
          <w:kern w:val="0"/>
          <w:sz w:val="20"/>
          <w:szCs w:val="20"/>
          <w:lang w:val="en-GB"/>
        </w:rPr>
      </w:pPr>
      <w:r w:rsidRPr="00AD21CF">
        <w:rPr>
          <w:rFonts w:ascii="Times New Roman" w:eastAsia="宋体" w:hAnsi="Times New Roman" w:cs="Times New Roman"/>
          <w:b/>
          <w:kern w:val="0"/>
          <w:sz w:val="20"/>
          <w:szCs w:val="20"/>
          <w:lang w:val="en-GB"/>
        </w:rPr>
        <w:t xml:space="preserve">Proposal 1: </w:t>
      </w:r>
      <w:r>
        <w:rPr>
          <w:rFonts w:ascii="Times New Roman" w:eastAsia="宋体" w:hAnsi="Times New Roman" w:cs="Times New Roman"/>
          <w:b/>
          <w:kern w:val="0"/>
          <w:sz w:val="20"/>
          <w:szCs w:val="20"/>
          <w:lang w:val="en-GB"/>
        </w:rPr>
        <w:t xml:space="preserve">For </w:t>
      </w:r>
      <w:r w:rsidRPr="00293921">
        <w:rPr>
          <w:rFonts w:ascii="Times New Roman" w:eastAsia="宋体" w:hAnsi="Times New Roman" w:cs="Times New Roman"/>
          <w:b/>
          <w:kern w:val="0"/>
          <w:sz w:val="20"/>
          <w:szCs w:val="20"/>
          <w:lang w:val="en-GB"/>
        </w:rPr>
        <w:t>SBFD Deployment Case 1</w:t>
      </w:r>
      <w:r>
        <w:rPr>
          <w:rFonts w:ascii="Times New Roman" w:eastAsia="宋体" w:hAnsi="Times New Roman" w:cs="Times New Roman"/>
          <w:b/>
          <w:kern w:val="0"/>
          <w:sz w:val="20"/>
          <w:szCs w:val="20"/>
          <w:lang w:val="en-GB"/>
        </w:rPr>
        <w:t>,</w:t>
      </w:r>
      <w:r w:rsidRPr="00293921">
        <w:t xml:space="preserve"> </w:t>
      </w:r>
      <w:r w:rsidRPr="00293921">
        <w:rPr>
          <w:rFonts w:ascii="Times New Roman" w:eastAsia="宋体" w:hAnsi="Times New Roman" w:cs="Times New Roman"/>
          <w:b/>
          <w:kern w:val="0"/>
          <w:sz w:val="20"/>
          <w:szCs w:val="20"/>
          <w:lang w:val="en-GB"/>
        </w:rPr>
        <w:t>FR2-2</w:t>
      </w:r>
      <w:r>
        <w:rPr>
          <w:rFonts w:ascii="Times New Roman" w:eastAsia="宋体" w:hAnsi="Times New Roman" w:cs="Times New Roman"/>
          <w:b/>
          <w:kern w:val="0"/>
          <w:sz w:val="20"/>
          <w:szCs w:val="20"/>
          <w:lang w:val="en-GB"/>
        </w:rPr>
        <w:t xml:space="preserve"> </w:t>
      </w:r>
      <w:r w:rsidRPr="00293921">
        <w:rPr>
          <w:rFonts w:ascii="Times New Roman" w:eastAsia="宋体" w:hAnsi="Times New Roman" w:cs="Times New Roman"/>
          <w:b/>
          <w:kern w:val="0"/>
          <w:sz w:val="20"/>
          <w:szCs w:val="20"/>
          <w:lang w:val="en-GB"/>
        </w:rPr>
        <w:t>should be deprioritized for both SBFD operation and flexible TDD</w:t>
      </w:r>
      <w:r>
        <w:rPr>
          <w:rFonts w:ascii="Times New Roman" w:eastAsia="宋体" w:hAnsi="Times New Roman" w:cs="Times New Roman"/>
          <w:b/>
          <w:kern w:val="0"/>
          <w:sz w:val="20"/>
          <w:szCs w:val="20"/>
          <w:lang w:val="en-GB"/>
        </w:rPr>
        <w:t>.</w:t>
      </w:r>
    </w:p>
    <w:p w:rsidR="00157937" w:rsidRPr="00157937" w:rsidRDefault="00157937" w:rsidP="00157937">
      <w:pPr>
        <w:rPr>
          <w:rFonts w:ascii="Times New Roman" w:hAnsi="Times New Roman" w:cs="Times New Roman"/>
          <w:kern w:val="0"/>
          <w:sz w:val="20"/>
          <w:szCs w:val="20"/>
          <w:lang w:val="en-GB"/>
        </w:rPr>
      </w:pPr>
      <w:r w:rsidRPr="00AD21CF">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2</w:t>
      </w:r>
      <w:r w:rsidRPr="00AD21CF">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For </w:t>
      </w:r>
      <w:r w:rsidRPr="00157937">
        <w:rPr>
          <w:rFonts w:ascii="Times New Roman" w:eastAsia="宋体" w:hAnsi="Times New Roman" w:cs="Times New Roman"/>
          <w:b/>
          <w:kern w:val="0"/>
          <w:sz w:val="20"/>
          <w:szCs w:val="20"/>
          <w:lang w:val="en-GB"/>
        </w:rPr>
        <w:t>metrics considered for SBFD and dynamic/flexible TDD evaluation</w:t>
      </w:r>
      <w:r>
        <w:rPr>
          <w:rFonts w:ascii="Times New Roman" w:eastAsia="宋体" w:hAnsi="Times New Roman" w:cs="Times New Roman"/>
          <w:b/>
          <w:kern w:val="0"/>
          <w:sz w:val="20"/>
          <w:szCs w:val="20"/>
          <w:lang w:val="en-GB"/>
        </w:rPr>
        <w:t xml:space="preserve">, </w:t>
      </w:r>
      <w:r w:rsidRPr="00157937">
        <w:rPr>
          <w:rFonts w:ascii="Times New Roman" w:eastAsia="宋体" w:hAnsi="Times New Roman" w:cs="Times New Roman"/>
          <w:b/>
          <w:kern w:val="0"/>
          <w:sz w:val="20"/>
          <w:szCs w:val="20"/>
          <w:lang w:val="en-GB"/>
        </w:rPr>
        <w:t>the coverage performance metrics (e.g., MPL, MCL, MIL) defined in TR 38.830 for coverage evaluation of SBFD</w:t>
      </w:r>
      <w:r>
        <w:rPr>
          <w:rFonts w:ascii="Times New Roman" w:eastAsia="宋体" w:hAnsi="Times New Roman" w:cs="Times New Roman"/>
          <w:b/>
          <w:kern w:val="0"/>
          <w:sz w:val="20"/>
          <w:szCs w:val="20"/>
          <w:lang w:val="en-GB"/>
        </w:rPr>
        <w:t xml:space="preserve"> should be reused.</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C02F4" w:rsidRPr="00BC02F4" w:rsidRDefault="00BC02F4" w:rsidP="00BC02F4">
      <w:pPr>
        <w:pStyle w:val="a6"/>
        <w:numPr>
          <w:ilvl w:val="0"/>
          <w:numId w:val="2"/>
        </w:numPr>
        <w:ind w:firstLineChars="0"/>
        <w:rPr>
          <w:rFonts w:ascii="Times New Roman" w:eastAsia="宋体" w:hAnsi="Times New Roman" w:cs="Times New Roman"/>
          <w:kern w:val="0"/>
          <w:sz w:val="20"/>
          <w:szCs w:val="20"/>
          <w:lang w:val="en-GB"/>
        </w:rPr>
      </w:pPr>
      <w:r w:rsidRPr="00BC02F4">
        <w:rPr>
          <w:rFonts w:ascii="Times New Roman" w:eastAsia="宋体" w:hAnsi="Times New Roman" w:cs="Times New Roman"/>
          <w:kern w:val="0"/>
          <w:sz w:val="20"/>
          <w:szCs w:val="20"/>
          <w:lang w:val="en-GB"/>
        </w:rPr>
        <w:t>Chairman’s Notes, RAN1#109-e, final, May 9th – 20th, 2022</w:t>
      </w:r>
    </w:p>
    <w:sectPr w:rsidR="00BC02F4" w:rsidRPr="00BC02F4"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5F2" w:rsidRDefault="00B905F2" w:rsidP="00A578C0">
      <w:r>
        <w:separator/>
      </w:r>
    </w:p>
  </w:endnote>
  <w:endnote w:type="continuationSeparator" w:id="0">
    <w:p w:rsidR="00B905F2" w:rsidRDefault="00B905F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5F2" w:rsidRDefault="00B905F2" w:rsidP="00A578C0">
      <w:r>
        <w:separator/>
      </w:r>
    </w:p>
  </w:footnote>
  <w:footnote w:type="continuationSeparator" w:id="0">
    <w:p w:rsidR="00B905F2" w:rsidRDefault="00B905F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11"/>
  </w:num>
  <w:num w:numId="2">
    <w:abstractNumId w:val="3"/>
  </w:num>
  <w:num w:numId="3">
    <w:abstractNumId w:val="21"/>
  </w:num>
  <w:num w:numId="4">
    <w:abstractNumId w:val="6"/>
  </w:num>
  <w:num w:numId="5">
    <w:abstractNumId w:val="9"/>
  </w:num>
  <w:num w:numId="6">
    <w:abstractNumId w:val="14"/>
  </w:num>
  <w:num w:numId="7">
    <w:abstractNumId w:val="23"/>
  </w:num>
  <w:num w:numId="8">
    <w:abstractNumId w:val="13"/>
  </w:num>
  <w:num w:numId="9">
    <w:abstractNumId w:val="17"/>
  </w:num>
  <w:num w:numId="10">
    <w:abstractNumId w:val="4"/>
  </w:num>
  <w:num w:numId="11">
    <w:abstractNumId w:val="10"/>
  </w:num>
  <w:num w:numId="12">
    <w:abstractNumId w:val="22"/>
  </w:num>
  <w:num w:numId="13">
    <w:abstractNumId w:val="2"/>
  </w:num>
  <w:num w:numId="14">
    <w:abstractNumId w:val="0"/>
  </w:num>
  <w:num w:numId="15">
    <w:abstractNumId w:val="19"/>
  </w:num>
  <w:num w:numId="16">
    <w:abstractNumId w:val="7"/>
  </w:num>
  <w:num w:numId="17">
    <w:abstractNumId w:val="1"/>
  </w:num>
  <w:num w:numId="18">
    <w:abstractNumId w:val="5"/>
  </w:num>
  <w:num w:numId="19">
    <w:abstractNumId w:val="8"/>
  </w:num>
  <w:num w:numId="20">
    <w:abstractNumId w:val="20"/>
  </w:num>
  <w:num w:numId="21">
    <w:abstractNumId w:val="15"/>
  </w:num>
  <w:num w:numId="22">
    <w:abstractNumId w:val="12"/>
  </w:num>
  <w:num w:numId="23">
    <w:abstractNumId w:val="18"/>
  </w:num>
  <w:num w:numId="2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7ACD"/>
    <w:rsid w:val="00007C66"/>
    <w:rsid w:val="00010399"/>
    <w:rsid w:val="000137B6"/>
    <w:rsid w:val="00015940"/>
    <w:rsid w:val="00022CAF"/>
    <w:rsid w:val="00030C5E"/>
    <w:rsid w:val="00042A65"/>
    <w:rsid w:val="000443A2"/>
    <w:rsid w:val="000474D9"/>
    <w:rsid w:val="00054955"/>
    <w:rsid w:val="00056DDE"/>
    <w:rsid w:val="000605E6"/>
    <w:rsid w:val="00062A9E"/>
    <w:rsid w:val="00063E0D"/>
    <w:rsid w:val="00066A85"/>
    <w:rsid w:val="000701F9"/>
    <w:rsid w:val="00071D3E"/>
    <w:rsid w:val="00073FB0"/>
    <w:rsid w:val="00077040"/>
    <w:rsid w:val="000855E6"/>
    <w:rsid w:val="000A1C5A"/>
    <w:rsid w:val="000A253A"/>
    <w:rsid w:val="000A5A40"/>
    <w:rsid w:val="000A5CDA"/>
    <w:rsid w:val="000B3BC7"/>
    <w:rsid w:val="000B427E"/>
    <w:rsid w:val="000B64EA"/>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10D40"/>
    <w:rsid w:val="00120AD5"/>
    <w:rsid w:val="001314B7"/>
    <w:rsid w:val="001328CB"/>
    <w:rsid w:val="0013396E"/>
    <w:rsid w:val="00135413"/>
    <w:rsid w:val="00136000"/>
    <w:rsid w:val="00137CA9"/>
    <w:rsid w:val="00140564"/>
    <w:rsid w:val="00142825"/>
    <w:rsid w:val="00144729"/>
    <w:rsid w:val="00146ED0"/>
    <w:rsid w:val="00157937"/>
    <w:rsid w:val="00164058"/>
    <w:rsid w:val="00164469"/>
    <w:rsid w:val="001707CD"/>
    <w:rsid w:val="00173760"/>
    <w:rsid w:val="001738C4"/>
    <w:rsid w:val="001773ED"/>
    <w:rsid w:val="00192DCD"/>
    <w:rsid w:val="00193172"/>
    <w:rsid w:val="001A3600"/>
    <w:rsid w:val="001A5C5A"/>
    <w:rsid w:val="001A657B"/>
    <w:rsid w:val="001A6A0A"/>
    <w:rsid w:val="001A6A3D"/>
    <w:rsid w:val="001B3F67"/>
    <w:rsid w:val="001B50E5"/>
    <w:rsid w:val="001B5300"/>
    <w:rsid w:val="001C54ED"/>
    <w:rsid w:val="001C6508"/>
    <w:rsid w:val="001C7237"/>
    <w:rsid w:val="001D1E03"/>
    <w:rsid w:val="001E2AC0"/>
    <w:rsid w:val="001E4D8D"/>
    <w:rsid w:val="001F42A7"/>
    <w:rsid w:val="001F54A5"/>
    <w:rsid w:val="001F7990"/>
    <w:rsid w:val="0020383B"/>
    <w:rsid w:val="002069DC"/>
    <w:rsid w:val="00206ED8"/>
    <w:rsid w:val="00207649"/>
    <w:rsid w:val="002113BD"/>
    <w:rsid w:val="00215C94"/>
    <w:rsid w:val="0022153E"/>
    <w:rsid w:val="002224FF"/>
    <w:rsid w:val="00224DBF"/>
    <w:rsid w:val="002254FB"/>
    <w:rsid w:val="00225A64"/>
    <w:rsid w:val="002305BB"/>
    <w:rsid w:val="00232402"/>
    <w:rsid w:val="002344D7"/>
    <w:rsid w:val="0024169A"/>
    <w:rsid w:val="00245AD4"/>
    <w:rsid w:val="0024744C"/>
    <w:rsid w:val="002531E8"/>
    <w:rsid w:val="00262CE9"/>
    <w:rsid w:val="00265D57"/>
    <w:rsid w:val="00270FD3"/>
    <w:rsid w:val="00275E69"/>
    <w:rsid w:val="00283A65"/>
    <w:rsid w:val="00286A83"/>
    <w:rsid w:val="00293921"/>
    <w:rsid w:val="00293BBE"/>
    <w:rsid w:val="002A1831"/>
    <w:rsid w:val="002A3326"/>
    <w:rsid w:val="002A3F55"/>
    <w:rsid w:val="002A43A1"/>
    <w:rsid w:val="002B048B"/>
    <w:rsid w:val="002B2245"/>
    <w:rsid w:val="002B469D"/>
    <w:rsid w:val="002C490D"/>
    <w:rsid w:val="002D11B8"/>
    <w:rsid w:val="002D18F5"/>
    <w:rsid w:val="002D5079"/>
    <w:rsid w:val="002E08D1"/>
    <w:rsid w:val="002E0ADD"/>
    <w:rsid w:val="002E22C3"/>
    <w:rsid w:val="002E3930"/>
    <w:rsid w:val="002F0A21"/>
    <w:rsid w:val="002F7346"/>
    <w:rsid w:val="003018B7"/>
    <w:rsid w:val="00303BE0"/>
    <w:rsid w:val="00307FB0"/>
    <w:rsid w:val="00310B68"/>
    <w:rsid w:val="00316F69"/>
    <w:rsid w:val="00320D92"/>
    <w:rsid w:val="00321210"/>
    <w:rsid w:val="003214F4"/>
    <w:rsid w:val="00321B0B"/>
    <w:rsid w:val="003224A7"/>
    <w:rsid w:val="00340FD3"/>
    <w:rsid w:val="003419CA"/>
    <w:rsid w:val="00343302"/>
    <w:rsid w:val="003453BC"/>
    <w:rsid w:val="003454E3"/>
    <w:rsid w:val="003525D2"/>
    <w:rsid w:val="00352A44"/>
    <w:rsid w:val="00357E2C"/>
    <w:rsid w:val="00362F05"/>
    <w:rsid w:val="003635EF"/>
    <w:rsid w:val="00366B60"/>
    <w:rsid w:val="0036751F"/>
    <w:rsid w:val="0037342D"/>
    <w:rsid w:val="00377B8A"/>
    <w:rsid w:val="00382CEC"/>
    <w:rsid w:val="0038764A"/>
    <w:rsid w:val="003903E5"/>
    <w:rsid w:val="003A7604"/>
    <w:rsid w:val="003B2055"/>
    <w:rsid w:val="003B465C"/>
    <w:rsid w:val="003B52F8"/>
    <w:rsid w:val="003B6BBF"/>
    <w:rsid w:val="003B7E18"/>
    <w:rsid w:val="003C2406"/>
    <w:rsid w:val="003D0A5D"/>
    <w:rsid w:val="003D4B88"/>
    <w:rsid w:val="003D50AA"/>
    <w:rsid w:val="003D78A3"/>
    <w:rsid w:val="003F3762"/>
    <w:rsid w:val="003F3BD9"/>
    <w:rsid w:val="003F72B5"/>
    <w:rsid w:val="00402D1D"/>
    <w:rsid w:val="00402D66"/>
    <w:rsid w:val="004051D9"/>
    <w:rsid w:val="00413292"/>
    <w:rsid w:val="00415A15"/>
    <w:rsid w:val="00417EC0"/>
    <w:rsid w:val="00420E3F"/>
    <w:rsid w:val="00433ED1"/>
    <w:rsid w:val="0043443E"/>
    <w:rsid w:val="00443F5F"/>
    <w:rsid w:val="00444225"/>
    <w:rsid w:val="00447F0B"/>
    <w:rsid w:val="004500D2"/>
    <w:rsid w:val="00450A5D"/>
    <w:rsid w:val="00450B70"/>
    <w:rsid w:val="00465B71"/>
    <w:rsid w:val="00465FCC"/>
    <w:rsid w:val="00467FCA"/>
    <w:rsid w:val="00473E9E"/>
    <w:rsid w:val="004767FA"/>
    <w:rsid w:val="00476938"/>
    <w:rsid w:val="00481074"/>
    <w:rsid w:val="00481E71"/>
    <w:rsid w:val="00486938"/>
    <w:rsid w:val="004949D5"/>
    <w:rsid w:val="004A06BE"/>
    <w:rsid w:val="004A10CB"/>
    <w:rsid w:val="004A1CE8"/>
    <w:rsid w:val="004A303C"/>
    <w:rsid w:val="004A4A4E"/>
    <w:rsid w:val="004A705E"/>
    <w:rsid w:val="004B0142"/>
    <w:rsid w:val="004C1D12"/>
    <w:rsid w:val="004C500F"/>
    <w:rsid w:val="004C5B2F"/>
    <w:rsid w:val="004D4719"/>
    <w:rsid w:val="004D5032"/>
    <w:rsid w:val="004E071D"/>
    <w:rsid w:val="004E2E7D"/>
    <w:rsid w:val="004E5C0C"/>
    <w:rsid w:val="004E70BA"/>
    <w:rsid w:val="00502C42"/>
    <w:rsid w:val="005073DC"/>
    <w:rsid w:val="0050787A"/>
    <w:rsid w:val="00511571"/>
    <w:rsid w:val="005124EA"/>
    <w:rsid w:val="00521ED8"/>
    <w:rsid w:val="00523B14"/>
    <w:rsid w:val="00533FE1"/>
    <w:rsid w:val="00534DA0"/>
    <w:rsid w:val="00534E57"/>
    <w:rsid w:val="00535B1A"/>
    <w:rsid w:val="00544FE4"/>
    <w:rsid w:val="00547461"/>
    <w:rsid w:val="00550557"/>
    <w:rsid w:val="00553D9B"/>
    <w:rsid w:val="005608F4"/>
    <w:rsid w:val="005609C1"/>
    <w:rsid w:val="00562145"/>
    <w:rsid w:val="00565903"/>
    <w:rsid w:val="00566A5C"/>
    <w:rsid w:val="005769C1"/>
    <w:rsid w:val="00576FDA"/>
    <w:rsid w:val="005822E4"/>
    <w:rsid w:val="00591825"/>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E4C22"/>
    <w:rsid w:val="005E507A"/>
    <w:rsid w:val="005E6D3C"/>
    <w:rsid w:val="005F779B"/>
    <w:rsid w:val="005F7D15"/>
    <w:rsid w:val="0061336B"/>
    <w:rsid w:val="0061441C"/>
    <w:rsid w:val="00616764"/>
    <w:rsid w:val="00620208"/>
    <w:rsid w:val="00623F49"/>
    <w:rsid w:val="0062456D"/>
    <w:rsid w:val="0062671D"/>
    <w:rsid w:val="0062682B"/>
    <w:rsid w:val="00626AA6"/>
    <w:rsid w:val="006344F4"/>
    <w:rsid w:val="00635236"/>
    <w:rsid w:val="00636F20"/>
    <w:rsid w:val="00643C26"/>
    <w:rsid w:val="006453D7"/>
    <w:rsid w:val="0065568F"/>
    <w:rsid w:val="006606EC"/>
    <w:rsid w:val="0066210A"/>
    <w:rsid w:val="0066311F"/>
    <w:rsid w:val="006636E0"/>
    <w:rsid w:val="006759FF"/>
    <w:rsid w:val="00675E58"/>
    <w:rsid w:val="00676541"/>
    <w:rsid w:val="00685118"/>
    <w:rsid w:val="00686A0A"/>
    <w:rsid w:val="00691CBB"/>
    <w:rsid w:val="00695CC2"/>
    <w:rsid w:val="00696B7D"/>
    <w:rsid w:val="006A6B89"/>
    <w:rsid w:val="006B086A"/>
    <w:rsid w:val="006B08A9"/>
    <w:rsid w:val="006B2596"/>
    <w:rsid w:val="006B6A62"/>
    <w:rsid w:val="006C0184"/>
    <w:rsid w:val="006C68F4"/>
    <w:rsid w:val="006D3EF4"/>
    <w:rsid w:val="006D47CD"/>
    <w:rsid w:val="006D6DB4"/>
    <w:rsid w:val="006D70B2"/>
    <w:rsid w:val="006D7857"/>
    <w:rsid w:val="006E361A"/>
    <w:rsid w:val="006E780A"/>
    <w:rsid w:val="006F2B0A"/>
    <w:rsid w:val="006F3A54"/>
    <w:rsid w:val="006F6EA7"/>
    <w:rsid w:val="007019D8"/>
    <w:rsid w:val="00703778"/>
    <w:rsid w:val="007037EB"/>
    <w:rsid w:val="00703B1A"/>
    <w:rsid w:val="0070513F"/>
    <w:rsid w:val="00705278"/>
    <w:rsid w:val="007103CF"/>
    <w:rsid w:val="0072764E"/>
    <w:rsid w:val="00730DAC"/>
    <w:rsid w:val="007356DE"/>
    <w:rsid w:val="007360F3"/>
    <w:rsid w:val="00737F83"/>
    <w:rsid w:val="00741358"/>
    <w:rsid w:val="0074215F"/>
    <w:rsid w:val="0074631B"/>
    <w:rsid w:val="00750473"/>
    <w:rsid w:val="00753833"/>
    <w:rsid w:val="0075584C"/>
    <w:rsid w:val="00755AC8"/>
    <w:rsid w:val="00761B07"/>
    <w:rsid w:val="007757D6"/>
    <w:rsid w:val="0077604D"/>
    <w:rsid w:val="00781066"/>
    <w:rsid w:val="00781CD4"/>
    <w:rsid w:val="00781F62"/>
    <w:rsid w:val="00782C29"/>
    <w:rsid w:val="0078307B"/>
    <w:rsid w:val="00792E64"/>
    <w:rsid w:val="007A196D"/>
    <w:rsid w:val="007A39A9"/>
    <w:rsid w:val="007B03E2"/>
    <w:rsid w:val="007B0BD0"/>
    <w:rsid w:val="007B19EB"/>
    <w:rsid w:val="007B3CD5"/>
    <w:rsid w:val="007B4A64"/>
    <w:rsid w:val="007B4A91"/>
    <w:rsid w:val="007B6166"/>
    <w:rsid w:val="007B7821"/>
    <w:rsid w:val="007C6E02"/>
    <w:rsid w:val="007C7FDA"/>
    <w:rsid w:val="007D1D7F"/>
    <w:rsid w:val="007E1FDD"/>
    <w:rsid w:val="007E22A1"/>
    <w:rsid w:val="007E7E28"/>
    <w:rsid w:val="007E7F51"/>
    <w:rsid w:val="007F3436"/>
    <w:rsid w:val="007F35D2"/>
    <w:rsid w:val="007F64AB"/>
    <w:rsid w:val="007F7CAF"/>
    <w:rsid w:val="00800355"/>
    <w:rsid w:val="00802572"/>
    <w:rsid w:val="00812625"/>
    <w:rsid w:val="0082446F"/>
    <w:rsid w:val="00836346"/>
    <w:rsid w:val="00837909"/>
    <w:rsid w:val="008423E4"/>
    <w:rsid w:val="00843BFB"/>
    <w:rsid w:val="00843D5F"/>
    <w:rsid w:val="00850D43"/>
    <w:rsid w:val="00851459"/>
    <w:rsid w:val="00855F2C"/>
    <w:rsid w:val="00857968"/>
    <w:rsid w:val="00861D85"/>
    <w:rsid w:val="00864061"/>
    <w:rsid w:val="008770C2"/>
    <w:rsid w:val="00877D6E"/>
    <w:rsid w:val="00882FD0"/>
    <w:rsid w:val="00883DCA"/>
    <w:rsid w:val="00884961"/>
    <w:rsid w:val="00885BC5"/>
    <w:rsid w:val="00890586"/>
    <w:rsid w:val="00893684"/>
    <w:rsid w:val="00893B50"/>
    <w:rsid w:val="008A0387"/>
    <w:rsid w:val="008A271B"/>
    <w:rsid w:val="008A4895"/>
    <w:rsid w:val="008A5656"/>
    <w:rsid w:val="008B111D"/>
    <w:rsid w:val="008B4320"/>
    <w:rsid w:val="008B4EE6"/>
    <w:rsid w:val="008C4111"/>
    <w:rsid w:val="008C42CF"/>
    <w:rsid w:val="008C44F3"/>
    <w:rsid w:val="008C5D3D"/>
    <w:rsid w:val="008D3D73"/>
    <w:rsid w:val="008D5332"/>
    <w:rsid w:val="008E2F85"/>
    <w:rsid w:val="008F06F1"/>
    <w:rsid w:val="008F258F"/>
    <w:rsid w:val="009032D9"/>
    <w:rsid w:val="00906E8A"/>
    <w:rsid w:val="00912323"/>
    <w:rsid w:val="00921728"/>
    <w:rsid w:val="009321B1"/>
    <w:rsid w:val="00941672"/>
    <w:rsid w:val="00947D8C"/>
    <w:rsid w:val="00952CE2"/>
    <w:rsid w:val="00960E45"/>
    <w:rsid w:val="009616CA"/>
    <w:rsid w:val="009667B8"/>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286"/>
    <w:rsid w:val="009F1B9C"/>
    <w:rsid w:val="009F31BB"/>
    <w:rsid w:val="009F47F5"/>
    <w:rsid w:val="009F54C2"/>
    <w:rsid w:val="00A007D5"/>
    <w:rsid w:val="00A02FA9"/>
    <w:rsid w:val="00A0324A"/>
    <w:rsid w:val="00A0341C"/>
    <w:rsid w:val="00A036C9"/>
    <w:rsid w:val="00A11B06"/>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47DD0"/>
    <w:rsid w:val="00A50CE9"/>
    <w:rsid w:val="00A51147"/>
    <w:rsid w:val="00A5188B"/>
    <w:rsid w:val="00A53BF7"/>
    <w:rsid w:val="00A578C0"/>
    <w:rsid w:val="00A62586"/>
    <w:rsid w:val="00A65D4E"/>
    <w:rsid w:val="00A65FE9"/>
    <w:rsid w:val="00A73647"/>
    <w:rsid w:val="00A83E66"/>
    <w:rsid w:val="00A8647F"/>
    <w:rsid w:val="00A95DA4"/>
    <w:rsid w:val="00AA3128"/>
    <w:rsid w:val="00AA50C0"/>
    <w:rsid w:val="00AC5463"/>
    <w:rsid w:val="00AC7F63"/>
    <w:rsid w:val="00AD21CF"/>
    <w:rsid w:val="00AD3D40"/>
    <w:rsid w:val="00AD7D8E"/>
    <w:rsid w:val="00AE21C2"/>
    <w:rsid w:val="00AE31E2"/>
    <w:rsid w:val="00AE4543"/>
    <w:rsid w:val="00AF15F7"/>
    <w:rsid w:val="00AF7B30"/>
    <w:rsid w:val="00B07614"/>
    <w:rsid w:val="00B146A4"/>
    <w:rsid w:val="00B152E2"/>
    <w:rsid w:val="00B279D1"/>
    <w:rsid w:val="00B349EC"/>
    <w:rsid w:val="00B375FC"/>
    <w:rsid w:val="00B53DC0"/>
    <w:rsid w:val="00B608D2"/>
    <w:rsid w:val="00B6162D"/>
    <w:rsid w:val="00B6462B"/>
    <w:rsid w:val="00B65C18"/>
    <w:rsid w:val="00B6664C"/>
    <w:rsid w:val="00B66E0F"/>
    <w:rsid w:val="00B70C65"/>
    <w:rsid w:val="00B7145D"/>
    <w:rsid w:val="00B7490D"/>
    <w:rsid w:val="00B8388E"/>
    <w:rsid w:val="00B87AD0"/>
    <w:rsid w:val="00B905F2"/>
    <w:rsid w:val="00B9571E"/>
    <w:rsid w:val="00B96E2E"/>
    <w:rsid w:val="00BA341E"/>
    <w:rsid w:val="00BA3452"/>
    <w:rsid w:val="00BB3CEF"/>
    <w:rsid w:val="00BC02F4"/>
    <w:rsid w:val="00BC1B55"/>
    <w:rsid w:val="00BC1C38"/>
    <w:rsid w:val="00BC5DCB"/>
    <w:rsid w:val="00BF0013"/>
    <w:rsid w:val="00C038AE"/>
    <w:rsid w:val="00C11E46"/>
    <w:rsid w:val="00C17161"/>
    <w:rsid w:val="00C32876"/>
    <w:rsid w:val="00C33030"/>
    <w:rsid w:val="00C33138"/>
    <w:rsid w:val="00C33AFB"/>
    <w:rsid w:val="00C3547C"/>
    <w:rsid w:val="00C42295"/>
    <w:rsid w:val="00C42B12"/>
    <w:rsid w:val="00C45F36"/>
    <w:rsid w:val="00C5061B"/>
    <w:rsid w:val="00C506A4"/>
    <w:rsid w:val="00C542FF"/>
    <w:rsid w:val="00C54F30"/>
    <w:rsid w:val="00C6078C"/>
    <w:rsid w:val="00C61F53"/>
    <w:rsid w:val="00C70107"/>
    <w:rsid w:val="00C75375"/>
    <w:rsid w:val="00C77748"/>
    <w:rsid w:val="00C85E6F"/>
    <w:rsid w:val="00C8645C"/>
    <w:rsid w:val="00C87316"/>
    <w:rsid w:val="00C94150"/>
    <w:rsid w:val="00C947EA"/>
    <w:rsid w:val="00C94AD1"/>
    <w:rsid w:val="00CA0BA4"/>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55C7"/>
    <w:rsid w:val="00D06C39"/>
    <w:rsid w:val="00D07BFB"/>
    <w:rsid w:val="00D25DF4"/>
    <w:rsid w:val="00D306D5"/>
    <w:rsid w:val="00D30B4E"/>
    <w:rsid w:val="00D30C14"/>
    <w:rsid w:val="00D34210"/>
    <w:rsid w:val="00D401C7"/>
    <w:rsid w:val="00D43FB3"/>
    <w:rsid w:val="00D533B8"/>
    <w:rsid w:val="00D55B25"/>
    <w:rsid w:val="00D56570"/>
    <w:rsid w:val="00D57F9E"/>
    <w:rsid w:val="00D64D04"/>
    <w:rsid w:val="00D73056"/>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3B5F"/>
    <w:rsid w:val="00DC71C2"/>
    <w:rsid w:val="00DD1A01"/>
    <w:rsid w:val="00DD2A9A"/>
    <w:rsid w:val="00DE046B"/>
    <w:rsid w:val="00DE070C"/>
    <w:rsid w:val="00DE26EA"/>
    <w:rsid w:val="00DE48F4"/>
    <w:rsid w:val="00DF215D"/>
    <w:rsid w:val="00DF33FF"/>
    <w:rsid w:val="00DF3512"/>
    <w:rsid w:val="00DF6593"/>
    <w:rsid w:val="00DF7A6B"/>
    <w:rsid w:val="00E00DE7"/>
    <w:rsid w:val="00E04E85"/>
    <w:rsid w:val="00E05CD9"/>
    <w:rsid w:val="00E0672B"/>
    <w:rsid w:val="00E14190"/>
    <w:rsid w:val="00E20D04"/>
    <w:rsid w:val="00E21B74"/>
    <w:rsid w:val="00E24F84"/>
    <w:rsid w:val="00E263B7"/>
    <w:rsid w:val="00E33082"/>
    <w:rsid w:val="00E3364B"/>
    <w:rsid w:val="00E34712"/>
    <w:rsid w:val="00E366DE"/>
    <w:rsid w:val="00E506A3"/>
    <w:rsid w:val="00E61116"/>
    <w:rsid w:val="00E7005E"/>
    <w:rsid w:val="00E73510"/>
    <w:rsid w:val="00E80BCF"/>
    <w:rsid w:val="00E82442"/>
    <w:rsid w:val="00E93D4B"/>
    <w:rsid w:val="00EA3CF5"/>
    <w:rsid w:val="00EA638F"/>
    <w:rsid w:val="00EC1FE6"/>
    <w:rsid w:val="00ED2846"/>
    <w:rsid w:val="00EE777A"/>
    <w:rsid w:val="00EF60D3"/>
    <w:rsid w:val="00F0051C"/>
    <w:rsid w:val="00F00656"/>
    <w:rsid w:val="00F01BC7"/>
    <w:rsid w:val="00F03767"/>
    <w:rsid w:val="00F04231"/>
    <w:rsid w:val="00F04FCA"/>
    <w:rsid w:val="00F104AB"/>
    <w:rsid w:val="00F105E2"/>
    <w:rsid w:val="00F10651"/>
    <w:rsid w:val="00F2324F"/>
    <w:rsid w:val="00F25BDD"/>
    <w:rsid w:val="00F26607"/>
    <w:rsid w:val="00F2770D"/>
    <w:rsid w:val="00F32A16"/>
    <w:rsid w:val="00F36470"/>
    <w:rsid w:val="00F37715"/>
    <w:rsid w:val="00F40D5B"/>
    <w:rsid w:val="00F42A0C"/>
    <w:rsid w:val="00F45EFC"/>
    <w:rsid w:val="00F55F42"/>
    <w:rsid w:val="00F56FB3"/>
    <w:rsid w:val="00F63208"/>
    <w:rsid w:val="00F63B30"/>
    <w:rsid w:val="00F63C64"/>
    <w:rsid w:val="00F64E9B"/>
    <w:rsid w:val="00F6572D"/>
    <w:rsid w:val="00F83318"/>
    <w:rsid w:val="00F839C6"/>
    <w:rsid w:val="00F8481C"/>
    <w:rsid w:val="00F9124B"/>
    <w:rsid w:val="00F943EA"/>
    <w:rsid w:val="00F9494A"/>
    <w:rsid w:val="00F971BA"/>
    <w:rsid w:val="00FA367E"/>
    <w:rsid w:val="00FA378F"/>
    <w:rsid w:val="00FA3E83"/>
    <w:rsid w:val="00FA415F"/>
    <w:rsid w:val="00FA70EE"/>
    <w:rsid w:val="00FB5D97"/>
    <w:rsid w:val="00FB662D"/>
    <w:rsid w:val="00FB7B39"/>
    <w:rsid w:val="00FB7DB8"/>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paragraph" w:customStyle="1" w:styleId="NO">
    <w:name w:val="NO"/>
    <w:basedOn w:val="a"/>
    <w:rsid w:val="00DC3B5F"/>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DC3B5F"/>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C3B5F"/>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EBF24-9B1B-41AD-A0F7-4094189E4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6071</Characters>
  <Application>Microsoft Office Word</Application>
  <DocSecurity>0</DocSecurity>
  <Lines>50</Lines>
  <Paragraphs>14</Paragraphs>
  <ScaleCrop>false</ScaleCrop>
  <Company>CATT</Company>
  <LinksUpToDate>false</LinksUpToDate>
  <CharactersWithSpaces>7121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2</cp:revision>
  <dcterms:created xsi:type="dcterms:W3CDTF">2022-08-08T09:15:00Z</dcterms:created>
  <dcterms:modified xsi:type="dcterms:W3CDTF">2022-08-08T09:15:00Z</dcterms:modified>
</cp:coreProperties>
</file>